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C8484" w14:textId="25D342A5" w:rsidR="0061343A" w:rsidRPr="0061343A" w:rsidRDefault="00413909" w:rsidP="0061343A">
      <w:pPr>
        <w:pStyle w:val="Titulek"/>
        <w:keepNext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5</w:t>
      </w:r>
      <w:r w:rsidR="004631EE">
        <w:rPr>
          <w:b/>
          <w:sz w:val="28"/>
          <w:szCs w:val="28"/>
        </w:rPr>
        <w:t xml:space="preserve">.a – </w:t>
      </w:r>
      <w:r w:rsidR="0061343A" w:rsidRPr="0061343A">
        <w:rPr>
          <w:b/>
          <w:sz w:val="28"/>
          <w:szCs w:val="28"/>
        </w:rPr>
        <w:t>Výčet specifických podmínek</w:t>
      </w:r>
      <w:r w:rsidR="00F0004D">
        <w:rPr>
          <w:b/>
          <w:sz w:val="28"/>
          <w:szCs w:val="28"/>
        </w:rPr>
        <w:t xml:space="preserve"> programu</w:t>
      </w:r>
      <w:r w:rsidR="0061343A" w:rsidRPr="0061343A">
        <w:rPr>
          <w:b/>
          <w:sz w:val="28"/>
          <w:szCs w:val="28"/>
        </w:rPr>
        <w:t>, ke kterým se bude vyjadřovat energetický specialista</w:t>
      </w:r>
    </w:p>
    <w:tbl>
      <w:tblPr>
        <w:tblW w:w="15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6"/>
        <w:gridCol w:w="4536"/>
        <w:gridCol w:w="3152"/>
      </w:tblGrid>
      <w:tr w:rsidR="00630F96" w:rsidRPr="006361DB" w14:paraId="5D6473E8" w14:textId="77777777" w:rsidTr="008C2114">
        <w:trPr>
          <w:trHeight w:val="615"/>
          <w:tblHeader/>
        </w:trPr>
        <w:tc>
          <w:tcPr>
            <w:tcW w:w="7366" w:type="dxa"/>
            <w:shd w:val="clear" w:color="000000" w:fill="BFBFBF"/>
            <w:vAlign w:val="center"/>
            <w:hideMark/>
          </w:tcPr>
          <w:p w14:paraId="082538FC" w14:textId="77777777" w:rsidR="006361DB" w:rsidRPr="006361DB" w:rsidRDefault="006361DB" w:rsidP="00636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361D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Specifická podmínka programu</w:t>
            </w:r>
          </w:p>
        </w:tc>
        <w:tc>
          <w:tcPr>
            <w:tcW w:w="4536" w:type="dxa"/>
            <w:shd w:val="clear" w:color="000000" w:fill="BFBFBF"/>
            <w:vAlign w:val="center"/>
            <w:hideMark/>
          </w:tcPr>
          <w:p w14:paraId="1707E14F" w14:textId="44BCC826" w:rsidR="006361DB" w:rsidRPr="006361DB" w:rsidRDefault="006361DB" w:rsidP="00636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361D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Stanovisko energetického specialisty</w:t>
            </w:r>
            <w:r w:rsidR="003B3F6E">
              <w:rPr>
                <w:rStyle w:val="Znakapoznpodarou"/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ootnoteReference w:id="1"/>
            </w:r>
          </w:p>
        </w:tc>
        <w:tc>
          <w:tcPr>
            <w:tcW w:w="3152" w:type="dxa"/>
            <w:shd w:val="clear" w:color="000000" w:fill="BFBFBF"/>
            <w:vAlign w:val="center"/>
            <w:hideMark/>
          </w:tcPr>
          <w:p w14:paraId="245B4B4C" w14:textId="77777777" w:rsidR="006361DB" w:rsidRPr="006361DB" w:rsidRDefault="006361DB" w:rsidP="00636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361D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Splněno (ANO/NE/NERELEVANTNÍ</w:t>
            </w:r>
            <w:r w:rsidRPr="006361DB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cs-CZ"/>
              </w:rPr>
              <w:t>*1</w:t>
            </w:r>
            <w:r w:rsidRPr="006361D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)</w:t>
            </w:r>
          </w:p>
        </w:tc>
      </w:tr>
      <w:tr w:rsidR="00630F96" w:rsidRPr="006361DB" w14:paraId="1340FEC8" w14:textId="77777777" w:rsidTr="008C2114">
        <w:trPr>
          <w:trHeight w:val="933"/>
        </w:trPr>
        <w:tc>
          <w:tcPr>
            <w:tcW w:w="7366" w:type="dxa"/>
            <w:shd w:val="clear" w:color="auto" w:fill="auto"/>
            <w:vAlign w:val="bottom"/>
          </w:tcPr>
          <w:p w14:paraId="18AE3E07" w14:textId="33B3D03D" w:rsidR="006361DB" w:rsidRPr="00C32A99" w:rsidRDefault="00A4231B" w:rsidP="008C2114">
            <w:pPr>
              <w:pStyle w:val="Odstavecseseznamem"/>
              <w:numPr>
                <w:ilvl w:val="0"/>
                <w:numId w:val="40"/>
              </w:numPr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231B">
              <w:rPr>
                <w:rFonts w:ascii="Calibri" w:eastAsia="Times New Roman" w:hAnsi="Calibri" w:cs="Calibri"/>
                <w:color w:val="000000"/>
                <w:lang w:eastAsia="cs-CZ"/>
              </w:rPr>
              <w:t>Pokud je pro danou kombinaci podpor relevantní, tak v případě investiční podpory bude odpovídajícím způsobem snížena vnitrostátní provozní podpora podle oznámení Evropské komise</w:t>
            </w:r>
            <w:r w:rsidR="00A01A58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6F8E5E11" w14:textId="77777777" w:rsidR="006361DB" w:rsidRPr="006361DB" w:rsidRDefault="006361DB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61D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43BBB5FA" w14:textId="77777777" w:rsidR="006361DB" w:rsidRPr="006361DB" w:rsidRDefault="006361DB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61D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01A58" w:rsidRPr="006361DB" w14:paraId="6B86165D" w14:textId="77777777" w:rsidTr="00B97C9C">
        <w:trPr>
          <w:trHeight w:val="618"/>
        </w:trPr>
        <w:tc>
          <w:tcPr>
            <w:tcW w:w="7366" w:type="dxa"/>
            <w:shd w:val="clear" w:color="auto" w:fill="auto"/>
            <w:vAlign w:val="bottom"/>
          </w:tcPr>
          <w:p w14:paraId="4C734E0B" w14:textId="417B568A" w:rsidR="00A01A58" w:rsidRPr="00A4231B" w:rsidRDefault="00A01A58" w:rsidP="008C2114">
            <w:pPr>
              <w:pStyle w:val="Odstavecseseznamem"/>
              <w:numPr>
                <w:ilvl w:val="0"/>
                <w:numId w:val="40"/>
              </w:numPr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Podpořeny nebudou projekty rekonstrukce či výstavby nad 10 MW.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7E85D84E" w14:textId="77777777" w:rsidR="00A01A58" w:rsidRPr="006361DB" w:rsidRDefault="00A01A58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52" w:type="dxa"/>
            <w:shd w:val="clear" w:color="auto" w:fill="auto"/>
            <w:noWrap/>
            <w:vAlign w:val="bottom"/>
          </w:tcPr>
          <w:p w14:paraId="6FC82025" w14:textId="77777777" w:rsidR="00A01A58" w:rsidRPr="006361DB" w:rsidRDefault="00A01A58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30F96" w:rsidRPr="006361DB" w14:paraId="61DAB7AF" w14:textId="77777777" w:rsidTr="008C2114">
        <w:trPr>
          <w:trHeight w:val="1629"/>
        </w:trPr>
        <w:tc>
          <w:tcPr>
            <w:tcW w:w="7366" w:type="dxa"/>
            <w:shd w:val="clear" w:color="auto" w:fill="auto"/>
            <w:vAlign w:val="bottom"/>
          </w:tcPr>
          <w:p w14:paraId="3F7AF2A8" w14:textId="1EF6350D" w:rsidR="006361DB" w:rsidRPr="00A4231B" w:rsidRDefault="00FC7530" w:rsidP="00C72F28">
            <w:pPr>
              <w:pStyle w:val="Odstavecseseznamem"/>
              <w:numPr>
                <w:ilvl w:val="0"/>
                <w:numId w:val="40"/>
              </w:numPr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Poměrná </w:t>
            </w:r>
            <w:r w:rsidR="00B806C2" w:rsidRPr="004C4D8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oba ročního využití instalovaného výkonu splňuje minimálně hodnotu </w:t>
            </w:r>
            <w:r w:rsidR="00533339" w:rsidRPr="004C4D8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20 </w:t>
            </w:r>
            <w:r w:rsidR="00B806C2" w:rsidRPr="004C4D8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%, což odpovídá době ročního využití max. </w:t>
            </w:r>
            <w:proofErr w:type="spellStart"/>
            <w:r w:rsidR="00B806C2" w:rsidRPr="004C4D8F">
              <w:rPr>
                <w:rFonts w:ascii="Calibri" w:eastAsia="Times New Roman" w:hAnsi="Calibri" w:cs="Calibri"/>
                <w:color w:val="000000"/>
                <w:lang w:eastAsia="cs-CZ"/>
              </w:rPr>
              <w:t>instal</w:t>
            </w:r>
            <w:proofErr w:type="spellEnd"/>
            <w:r w:rsidR="00B806C2" w:rsidRPr="004C4D8F">
              <w:rPr>
                <w:rFonts w:ascii="Calibri" w:eastAsia="Times New Roman" w:hAnsi="Calibri" w:cs="Calibri"/>
                <w:color w:val="000000"/>
                <w:lang w:eastAsia="cs-CZ"/>
              </w:rPr>
              <w:t>. výkonu ve výši   </w:t>
            </w:r>
            <w:r w:rsidR="00533339" w:rsidRPr="004C4D8F">
              <w:rPr>
                <w:rFonts w:ascii="Calibri" w:eastAsia="Times New Roman" w:hAnsi="Calibri" w:cs="Calibri"/>
                <w:color w:val="000000"/>
                <w:lang w:eastAsia="cs-CZ"/>
              </w:rPr>
              <w:t>1 752</w:t>
            </w:r>
            <w:r w:rsidR="00B806C2" w:rsidRPr="004C4D8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hodin.</w:t>
            </w:r>
            <w:r w:rsidR="004C4D8F" w:rsidRPr="004C4D8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C4D8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Tato </w:t>
            </w:r>
            <w:proofErr w:type="gramStart"/>
            <w:r w:rsidR="004C4D8F">
              <w:rPr>
                <w:rFonts w:ascii="Calibri" w:eastAsia="Times New Roman" w:hAnsi="Calibri" w:cs="Calibri"/>
                <w:color w:val="000000"/>
                <w:lang w:eastAsia="cs-CZ"/>
              </w:rPr>
              <w:t>hodnota</w:t>
            </w:r>
            <w:r w:rsidR="00BE45B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C4D8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bude</w:t>
            </w:r>
            <w:proofErr w:type="gramEnd"/>
            <w:r w:rsidR="004C4D8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muset být splněná alespoň </w:t>
            </w:r>
            <w:r w:rsidR="00BE45B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za 1 kalendářní rok </w:t>
            </w:r>
            <w:r w:rsidR="004C4D8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v době udržitelnosti projektu.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6ABBF31E" w14:textId="77777777" w:rsidR="006361DB" w:rsidRPr="006361DB" w:rsidRDefault="006361DB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61D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476AA8CE" w14:textId="77777777" w:rsidR="006361DB" w:rsidRPr="006361DB" w:rsidRDefault="006361DB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61D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35200" w:rsidRPr="006361DB" w14:paraId="096652BD" w14:textId="77777777" w:rsidTr="008C2114">
        <w:trPr>
          <w:trHeight w:val="1629"/>
        </w:trPr>
        <w:tc>
          <w:tcPr>
            <w:tcW w:w="7366" w:type="dxa"/>
            <w:shd w:val="clear" w:color="auto" w:fill="auto"/>
            <w:vAlign w:val="bottom"/>
          </w:tcPr>
          <w:p w14:paraId="3D767F2C" w14:textId="7F5EAE7C" w:rsidR="00935200" w:rsidRPr="00B806C2" w:rsidRDefault="00935200" w:rsidP="00B97C9C">
            <w:pPr>
              <w:pStyle w:val="Odstavecseseznamem"/>
              <w:numPr>
                <w:ilvl w:val="0"/>
                <w:numId w:val="40"/>
              </w:numPr>
              <w:spacing w:after="120" w:line="276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069D">
              <w:rPr>
                <w:rFonts w:eastAsia="SimSun"/>
              </w:rPr>
              <w:t xml:space="preserve">Požadavek účinnosti využití primárního obsahu energie v případě projektu MVE: Účinnost nově instalované turbíny je předpokládána v provozním </w:t>
            </w:r>
            <w:proofErr w:type="gramStart"/>
            <w:r w:rsidRPr="0027069D">
              <w:rPr>
                <w:rFonts w:eastAsia="SimSun"/>
              </w:rPr>
              <w:t>optimu &gt;</w:t>
            </w:r>
            <w:proofErr w:type="gramEnd"/>
            <w:r w:rsidRPr="0027069D">
              <w:rPr>
                <w:rFonts w:eastAsia="SimSun"/>
              </w:rPr>
              <w:t>= 85 %, u renovací starších typů &gt;= 80 % (měřeno na spojce turbíny).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05F9A1B7" w14:textId="77777777" w:rsidR="00935200" w:rsidRPr="006361DB" w:rsidRDefault="00935200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52" w:type="dxa"/>
            <w:shd w:val="clear" w:color="auto" w:fill="auto"/>
            <w:noWrap/>
            <w:vAlign w:val="bottom"/>
          </w:tcPr>
          <w:p w14:paraId="54BD9E14" w14:textId="77777777" w:rsidR="00935200" w:rsidRPr="006361DB" w:rsidRDefault="00935200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30F96" w:rsidRPr="006361DB" w14:paraId="102C42A9" w14:textId="77777777" w:rsidTr="008C2114">
        <w:trPr>
          <w:trHeight w:val="1120"/>
        </w:trPr>
        <w:tc>
          <w:tcPr>
            <w:tcW w:w="7366" w:type="dxa"/>
            <w:shd w:val="clear" w:color="auto" w:fill="auto"/>
            <w:vAlign w:val="bottom"/>
            <w:hideMark/>
          </w:tcPr>
          <w:p w14:paraId="1EC58E0A" w14:textId="718D816B" w:rsidR="006361DB" w:rsidRPr="00C32A99" w:rsidRDefault="006361DB" w:rsidP="008C2114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2A99">
              <w:rPr>
                <w:rFonts w:ascii="Calibri" w:eastAsia="Times New Roman" w:hAnsi="Calibri" w:cs="Calibri"/>
                <w:color w:val="000000"/>
                <w:lang w:eastAsia="cs-CZ"/>
              </w:rPr>
              <w:t>Pokud jsou absolutní</w:t>
            </w:r>
            <w:r w:rsidR="00123132" w:rsidRPr="008C2114">
              <w:rPr>
                <w:vertAlign w:val="superscript"/>
              </w:rPr>
              <w:footnoteReference w:id="2"/>
            </w:r>
            <w:r w:rsidRPr="00C32A9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anebo relativní</w:t>
            </w:r>
            <w:r w:rsidR="00123132" w:rsidRPr="008C2114">
              <w:rPr>
                <w:vertAlign w:val="superscript"/>
              </w:rPr>
              <w:footnoteReference w:id="3"/>
            </w:r>
            <w:r w:rsidRPr="008C2114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 xml:space="preserve"> </w:t>
            </w:r>
            <w:r w:rsidRPr="00C32A99">
              <w:rPr>
                <w:rFonts w:ascii="Calibri" w:eastAsia="Times New Roman" w:hAnsi="Calibri" w:cs="Calibri"/>
                <w:color w:val="000000"/>
                <w:lang w:eastAsia="cs-CZ"/>
              </w:rPr>
              <w:t>emise vyšší než 20 000 tun CO</w:t>
            </w:r>
            <w:r w:rsidRPr="00B806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 </w:t>
            </w:r>
            <w:proofErr w:type="spellStart"/>
            <w:r w:rsidRPr="00C32A99">
              <w:rPr>
                <w:rFonts w:ascii="Calibri" w:eastAsia="Times New Roman" w:hAnsi="Calibri" w:cs="Calibri"/>
                <w:color w:val="000000"/>
                <w:lang w:eastAsia="cs-CZ"/>
              </w:rPr>
              <w:t>ekv</w:t>
            </w:r>
            <w:proofErr w:type="spellEnd"/>
            <w:r w:rsidRPr="00C32A99">
              <w:rPr>
                <w:rFonts w:ascii="Calibri" w:eastAsia="Times New Roman" w:hAnsi="Calibri" w:cs="Calibri"/>
                <w:color w:val="000000"/>
                <w:lang w:eastAsia="cs-CZ"/>
              </w:rPr>
              <w:t>./rok, tak je nutné stanovit uhlíkovou stopu podle sdělení Evropské komise 2021/C373/01 (Technické pokyny k provádění infrastruktury z hlediska klimatického dopadu v období 2021-2027).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1BE6EAD4" w14:textId="77777777" w:rsidR="006361DB" w:rsidRPr="006361DB" w:rsidRDefault="006361DB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61D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04CB8EA7" w14:textId="77777777" w:rsidR="006361DB" w:rsidRPr="006361DB" w:rsidRDefault="006361DB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61D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1144615A" w14:textId="44B3B7F1" w:rsidR="004631EE" w:rsidRDefault="00E858A3" w:rsidP="00E858A3">
      <w:pPr>
        <w:tabs>
          <w:tab w:val="left" w:pos="476"/>
          <w:tab w:val="right" w:pos="14570"/>
        </w:tabs>
      </w:pPr>
      <w:r>
        <w:tab/>
      </w:r>
      <w:r>
        <w:tab/>
      </w:r>
      <w:r w:rsidR="004631EE">
        <w:t>Potvrzení energetického specialisty</w:t>
      </w:r>
    </w:p>
    <w:p w14:paraId="3A549A75" w14:textId="73618D27" w:rsidR="00982D83" w:rsidRPr="0061343A" w:rsidRDefault="00413909" w:rsidP="00982D83">
      <w:pPr>
        <w:pStyle w:val="Titulek"/>
        <w:keepNext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4631EE">
        <w:rPr>
          <w:b/>
          <w:sz w:val="28"/>
          <w:szCs w:val="28"/>
        </w:rPr>
        <w:t xml:space="preserve">.b – </w:t>
      </w:r>
      <w:r w:rsidR="00982D83" w:rsidRPr="0061343A">
        <w:rPr>
          <w:b/>
          <w:sz w:val="28"/>
          <w:szCs w:val="28"/>
        </w:rPr>
        <w:t>Výčet specifických podmínek</w:t>
      </w:r>
      <w:r w:rsidR="006C45C2">
        <w:rPr>
          <w:b/>
          <w:sz w:val="28"/>
          <w:szCs w:val="28"/>
        </w:rPr>
        <w:t xml:space="preserve"> programu</w:t>
      </w:r>
      <w:r w:rsidR="00982D83" w:rsidRPr="0061343A">
        <w:rPr>
          <w:b/>
          <w:sz w:val="28"/>
          <w:szCs w:val="28"/>
        </w:rPr>
        <w:t xml:space="preserve">, ke kterým se bude vyjadřovat </w:t>
      </w:r>
      <w:r w:rsidR="00982D83">
        <w:rPr>
          <w:b/>
          <w:sz w:val="28"/>
          <w:szCs w:val="28"/>
        </w:rPr>
        <w:t>žadatel</w:t>
      </w:r>
    </w:p>
    <w:tbl>
      <w:tblPr>
        <w:tblW w:w="1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22"/>
        <w:gridCol w:w="4922"/>
        <w:gridCol w:w="2771"/>
      </w:tblGrid>
      <w:tr w:rsidR="0061343A" w:rsidRPr="006361DB" w14:paraId="32AA2A55" w14:textId="77777777" w:rsidTr="00A4231B">
        <w:trPr>
          <w:trHeight w:val="983"/>
          <w:tblHeader/>
        </w:trPr>
        <w:tc>
          <w:tcPr>
            <w:tcW w:w="7122" w:type="dxa"/>
            <w:shd w:val="clear" w:color="auto" w:fill="A6A6A6" w:themeFill="background1" w:themeFillShade="A6"/>
            <w:noWrap/>
            <w:vAlign w:val="center"/>
          </w:tcPr>
          <w:p w14:paraId="7C41E648" w14:textId="6E529CFF" w:rsidR="0061343A" w:rsidRPr="00982D83" w:rsidRDefault="0061343A" w:rsidP="0098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</w:pPr>
            <w:r w:rsidRPr="00982D83"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  <w:t>Specifická podmínka programu</w:t>
            </w:r>
          </w:p>
        </w:tc>
        <w:tc>
          <w:tcPr>
            <w:tcW w:w="4922" w:type="dxa"/>
            <w:shd w:val="clear" w:color="auto" w:fill="A6A6A6" w:themeFill="background1" w:themeFillShade="A6"/>
            <w:noWrap/>
            <w:vAlign w:val="center"/>
          </w:tcPr>
          <w:p w14:paraId="072C507F" w14:textId="168274E2" w:rsidR="0061343A" w:rsidRPr="00982D83" w:rsidRDefault="0061343A" w:rsidP="0098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</w:pPr>
            <w:r w:rsidRPr="00982D83"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  <w:t>Stanovisko žadatele</w:t>
            </w:r>
            <w:r w:rsidR="003B3F6E">
              <w:rPr>
                <w:rStyle w:val="Znakapoznpodarou"/>
                <w:rFonts w:ascii="Calibri" w:eastAsia="Times New Roman" w:hAnsi="Calibri" w:cs="Calibri"/>
                <w:b/>
                <w:bCs/>
                <w:color w:val="auto"/>
                <w:lang w:eastAsia="cs-CZ"/>
              </w:rPr>
              <w:footnoteReference w:id="4"/>
            </w:r>
          </w:p>
        </w:tc>
        <w:tc>
          <w:tcPr>
            <w:tcW w:w="2771" w:type="dxa"/>
            <w:shd w:val="clear" w:color="auto" w:fill="A6A6A6" w:themeFill="background1" w:themeFillShade="A6"/>
            <w:noWrap/>
            <w:vAlign w:val="center"/>
          </w:tcPr>
          <w:p w14:paraId="4A18C0D3" w14:textId="16024D5F" w:rsidR="0061343A" w:rsidRPr="00982D83" w:rsidRDefault="0061343A" w:rsidP="0098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</w:pPr>
            <w:r w:rsidRPr="00982D83"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  <w:t>Splněno (ANO/NE/NERELEVANTNÍ*1)</w:t>
            </w:r>
          </w:p>
        </w:tc>
      </w:tr>
      <w:tr w:rsidR="00233038" w:rsidRPr="006361DB" w14:paraId="3DAA7AC4" w14:textId="77777777" w:rsidTr="00233038">
        <w:trPr>
          <w:trHeight w:val="489"/>
        </w:trPr>
        <w:tc>
          <w:tcPr>
            <w:tcW w:w="7122" w:type="dxa"/>
            <w:shd w:val="clear" w:color="auto" w:fill="auto"/>
            <w:noWrap/>
            <w:vAlign w:val="center"/>
          </w:tcPr>
          <w:p w14:paraId="315624AD" w14:textId="70AFBD4E" w:rsidR="00233038" w:rsidRPr="00C72F28" w:rsidRDefault="00233038" w:rsidP="00C72F28">
            <w:pPr>
              <w:pStyle w:val="Odstavecseseznamem"/>
              <w:numPr>
                <w:ilvl w:val="0"/>
                <w:numId w:val="54"/>
              </w:numPr>
              <w:jc w:val="both"/>
            </w:pPr>
            <w:r w:rsidRPr="00C72F28">
              <w:t>Činnost splňuje jedno z níže uvedených kritérií:</w:t>
            </w:r>
          </w:p>
          <w:p w14:paraId="2F5B946B" w14:textId="2EC61EF8" w:rsidR="00233038" w:rsidRPr="00233038" w:rsidRDefault="00233038" w:rsidP="00C72F28">
            <w:pPr>
              <w:jc w:val="both"/>
            </w:pPr>
            <w:proofErr w:type="spellStart"/>
            <w:r w:rsidRPr="00233038">
              <w:t>a</w:t>
            </w:r>
            <w:r w:rsidR="00C72F28">
              <w:t>a</w:t>
            </w:r>
            <w:proofErr w:type="spellEnd"/>
            <w:r w:rsidRPr="00233038">
              <w:t xml:space="preserve">) zařízení na výrobu elektrické energie je průtočná vodní elektrárna a </w:t>
            </w:r>
            <w:r w:rsidR="00C72F28">
              <w:t xml:space="preserve">         </w:t>
            </w:r>
            <w:r w:rsidRPr="00233038">
              <w:t>nemá umělou nádrž;</w:t>
            </w:r>
          </w:p>
          <w:p w14:paraId="67598D88" w14:textId="3AAB0CAB" w:rsidR="00233038" w:rsidRPr="00233038" w:rsidRDefault="00233038" w:rsidP="00C72F28">
            <w:pPr>
              <w:jc w:val="both"/>
            </w:pPr>
            <w:proofErr w:type="spellStart"/>
            <w:r w:rsidRPr="00233038">
              <w:t>b</w:t>
            </w:r>
            <w:r w:rsidR="00C72F28">
              <w:t>b</w:t>
            </w:r>
            <w:proofErr w:type="spellEnd"/>
            <w:r w:rsidRPr="00233038">
              <w:t xml:space="preserve">) měrný výkon zařízení na výrobu elektřiny přesahuje 5 W/m2; </w:t>
            </w:r>
          </w:p>
          <w:p w14:paraId="0357256E" w14:textId="4F11D50F" w:rsidR="00233038" w:rsidRPr="00C97D13" w:rsidRDefault="00233038" w:rsidP="00C72F28">
            <w:pPr>
              <w:spacing w:after="0" w:line="240" w:lineRule="auto"/>
              <w:jc w:val="both"/>
              <w:rPr>
                <w:rFonts w:ascii="Verdana-Bold" w:hAnsi="Verdana-Bold" w:cs="Verdana-Bold"/>
                <w:b/>
                <w:bCs/>
                <w:color w:val="auto"/>
              </w:rPr>
            </w:pPr>
            <w:proofErr w:type="spellStart"/>
            <w:r w:rsidRPr="00233038">
              <w:t>c</w:t>
            </w:r>
            <w:r w:rsidR="00C72F28">
              <w:t>c</w:t>
            </w:r>
            <w:proofErr w:type="spellEnd"/>
            <w:r w:rsidRPr="00233038">
              <w:t>) emise skleníkových plynů během životního cyklu z výroby elektřiny z vodní energie jsou nižší než 100 g ekvivalentu CO2/kWh. Emise skleníkových plynů během životního cyklu se vypočítají podle doporučení 2013/179/EU, případně podle ISO 14067:2018</w:t>
            </w:r>
            <w:r w:rsidRPr="00233038">
              <w:rPr>
                <w:vertAlign w:val="superscript"/>
              </w:rPr>
              <w:footnoteReference w:id="5"/>
            </w:r>
            <w:r w:rsidRPr="00233038">
              <w:t>, ISO 14064-1:2018</w:t>
            </w:r>
            <w:r w:rsidRPr="00233038">
              <w:rPr>
                <w:vertAlign w:val="superscript"/>
              </w:rPr>
              <w:footnoteReference w:id="6"/>
            </w:r>
            <w:r w:rsidRPr="00233038">
              <w:t xml:space="preserve"> nebo pomocí nástroje G-res</w:t>
            </w:r>
            <w:r w:rsidRPr="00233038">
              <w:rPr>
                <w:vertAlign w:val="superscript"/>
              </w:rPr>
              <w:footnoteReference w:id="7"/>
            </w:r>
            <w:r w:rsidRPr="00233038">
              <w:t>. Kvantifikované emise skleníkových plynů během životního cyklu ověřuje nezávislá třetí strana.</w:t>
            </w:r>
          </w:p>
        </w:tc>
        <w:tc>
          <w:tcPr>
            <w:tcW w:w="4922" w:type="dxa"/>
            <w:shd w:val="clear" w:color="auto" w:fill="auto"/>
            <w:vAlign w:val="center"/>
          </w:tcPr>
          <w:p w14:paraId="41439679" w14:textId="77777777" w:rsidR="00233038" w:rsidRPr="00C97D13" w:rsidRDefault="00233038" w:rsidP="00450223">
            <w:pPr>
              <w:spacing w:after="0" w:line="240" w:lineRule="auto"/>
              <w:rPr>
                <w:rFonts w:ascii="Verdana-Bold" w:hAnsi="Verdana-Bold" w:cs="Verdana-Bold"/>
                <w:b/>
                <w:bCs/>
                <w:color w:val="auto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5EB41585" w14:textId="37423E27" w:rsidR="00233038" w:rsidRPr="00C97D13" w:rsidRDefault="00233038" w:rsidP="00450223">
            <w:pPr>
              <w:spacing w:after="0" w:line="240" w:lineRule="auto"/>
              <w:rPr>
                <w:rFonts w:ascii="Verdana-Bold" w:hAnsi="Verdana-Bold" w:cs="Verdana-Bold"/>
                <w:b/>
                <w:bCs/>
                <w:color w:val="auto"/>
              </w:rPr>
            </w:pPr>
          </w:p>
        </w:tc>
      </w:tr>
      <w:tr w:rsidR="008E6F42" w:rsidRPr="006361DB" w14:paraId="69B96738" w14:textId="77777777" w:rsidTr="00A4231B">
        <w:trPr>
          <w:trHeight w:val="489"/>
        </w:trPr>
        <w:tc>
          <w:tcPr>
            <w:tcW w:w="7122" w:type="dxa"/>
            <w:shd w:val="clear" w:color="auto" w:fill="auto"/>
            <w:noWrap/>
            <w:vAlign w:val="center"/>
          </w:tcPr>
          <w:p w14:paraId="4BE81A55" w14:textId="1E6AF686" w:rsidR="008E6F42" w:rsidRPr="00DE50B1" w:rsidRDefault="00914ADB" w:rsidP="00C72F28">
            <w:pPr>
              <w:pStyle w:val="Odstavecseseznamem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50B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Podpora výstavby nebo obnovy zaniklých nebo nefunkčních MVE, která by si vyžádala výstavbu nebo obnovu příčné překážky na vodním toku, je nepřípustná. </w:t>
            </w:r>
            <w:r w:rsidR="006E05F0">
              <w:rPr>
                <w:rFonts w:ascii="Calibri" w:eastAsia="Times New Roman" w:hAnsi="Calibri" w:cs="Calibri"/>
                <w:color w:val="000000"/>
                <w:lang w:eastAsia="cs-CZ"/>
              </w:rPr>
              <w:t>Výše uvedená podmínka se nevztahuje na modernizaci MVE definovanou dle vyhlášky č. 68/2022 Sb. o modernizaci podporované výrobny elektřiny a postupech při úpravách zařízení výrobny elektřiny.</w:t>
            </w:r>
          </w:p>
        </w:tc>
        <w:tc>
          <w:tcPr>
            <w:tcW w:w="4922" w:type="dxa"/>
            <w:shd w:val="clear" w:color="auto" w:fill="auto"/>
            <w:noWrap/>
            <w:vAlign w:val="bottom"/>
          </w:tcPr>
          <w:p w14:paraId="22470CEB" w14:textId="30E4D835" w:rsidR="008E6F42" w:rsidRPr="006361DB" w:rsidRDefault="008E6F42" w:rsidP="00450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1AC74547" w14:textId="77777777" w:rsidR="008E6F42" w:rsidRPr="006361DB" w:rsidRDefault="008E6F42" w:rsidP="00450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1343A" w:rsidRPr="006361DB" w14:paraId="17E91185" w14:textId="77777777" w:rsidTr="00A4231B">
        <w:trPr>
          <w:trHeight w:val="582"/>
        </w:trPr>
        <w:tc>
          <w:tcPr>
            <w:tcW w:w="7122" w:type="dxa"/>
            <w:shd w:val="clear" w:color="auto" w:fill="auto"/>
            <w:noWrap/>
            <w:vAlign w:val="center"/>
          </w:tcPr>
          <w:p w14:paraId="4640AAE3" w14:textId="01ED1349" w:rsidR="0061343A" w:rsidRPr="00DE50B1" w:rsidRDefault="00914ADB" w:rsidP="00C72F28">
            <w:pPr>
              <w:pStyle w:val="Odstavecseseznamem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50B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 případě výstavby/obnovy MVE u stávající příčné překážky je podmínkou podpory </w:t>
            </w:r>
            <w:r w:rsidR="00A33CB8" w:rsidRPr="00DE50B1">
              <w:rPr>
                <w:rFonts w:ascii="Calibri" w:eastAsia="Times New Roman" w:hAnsi="Calibri" w:cs="Calibri"/>
                <w:color w:val="000000"/>
                <w:lang w:eastAsia="cs-CZ"/>
              </w:rPr>
              <w:t>vybudování funkčního</w:t>
            </w:r>
            <w:r w:rsidRPr="00DE50B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rybího přechodu. </w:t>
            </w:r>
            <w:r w:rsidR="006E05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Výše uvedená podmínka se nevztahuje na modernizaci MVE definovanou </w:t>
            </w:r>
            <w:r w:rsidR="006E05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dle vyhlášky č. 68/2022 Sb. o modernizaci podporované výrobny elektřiny a postupech při úpravách zařízení výrobny elektřiny.</w:t>
            </w:r>
          </w:p>
        </w:tc>
        <w:tc>
          <w:tcPr>
            <w:tcW w:w="4922" w:type="dxa"/>
            <w:shd w:val="clear" w:color="auto" w:fill="auto"/>
            <w:noWrap/>
            <w:vAlign w:val="bottom"/>
          </w:tcPr>
          <w:p w14:paraId="39E8B12A" w14:textId="77777777" w:rsidR="0061343A" w:rsidRPr="006361DB" w:rsidRDefault="0061343A" w:rsidP="00450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2EE164E9" w14:textId="77777777" w:rsidR="0061343A" w:rsidRPr="006361DB" w:rsidRDefault="0061343A" w:rsidP="00450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231B" w:rsidRPr="006361DB" w14:paraId="347BE746" w14:textId="77777777" w:rsidTr="00A4231B">
        <w:trPr>
          <w:trHeight w:val="582"/>
        </w:trPr>
        <w:tc>
          <w:tcPr>
            <w:tcW w:w="7122" w:type="dxa"/>
            <w:shd w:val="clear" w:color="auto" w:fill="auto"/>
            <w:noWrap/>
            <w:vAlign w:val="center"/>
          </w:tcPr>
          <w:p w14:paraId="44D716CB" w14:textId="2FB99864" w:rsidR="00A4231B" w:rsidRPr="00A33CB8" w:rsidRDefault="00914ADB" w:rsidP="00C72F28">
            <w:pPr>
              <w:pStyle w:val="Odstavecseseznamem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3CB8">
              <w:rPr>
                <w:rFonts w:ascii="Calibri" w:eastAsia="Times New Roman" w:hAnsi="Calibri" w:cs="Calibri"/>
                <w:color w:val="000000"/>
                <w:lang w:eastAsia="cs-CZ"/>
              </w:rPr>
              <w:t>Podporovat lze úpravy nebo výměnu technologie stávajících MVE, pokud přispějí ke zmírnění dopadů provozu MVE na stav vodního toku a jeho oživení</w:t>
            </w:r>
            <w:r w:rsidR="00A33CB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A33CB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(např. výměnu turbíny za některý z typů nových </w:t>
            </w:r>
            <w:proofErr w:type="spellStart"/>
            <w:r w:rsidRPr="00A33CB8">
              <w:rPr>
                <w:rFonts w:ascii="Calibri" w:eastAsia="Times New Roman" w:hAnsi="Calibri" w:cs="Calibri"/>
                <w:color w:val="000000"/>
                <w:lang w:eastAsia="cs-CZ"/>
              </w:rPr>
              <w:t>fish-friendly</w:t>
            </w:r>
            <w:proofErr w:type="spellEnd"/>
            <w:r w:rsidRPr="00A33CB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nebo </w:t>
            </w:r>
            <w:proofErr w:type="spellStart"/>
            <w:r w:rsidRPr="00A33CB8">
              <w:rPr>
                <w:rFonts w:ascii="Calibri" w:eastAsia="Times New Roman" w:hAnsi="Calibri" w:cs="Calibri"/>
                <w:color w:val="000000"/>
                <w:lang w:eastAsia="cs-CZ"/>
              </w:rPr>
              <w:t>fish-safe</w:t>
            </w:r>
            <w:proofErr w:type="spellEnd"/>
            <w:r w:rsidRPr="00A33CB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turbín, osazení ochranných prvků na nátoku do MVE apod.).</w:t>
            </w:r>
            <w:r w:rsidR="006E05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Výše uvedená podmínka se vztahuje na modernizaci MVE definovanou dle vyhlášky č. 68/2022 Sb. o modernizaci podporované výrobny elektřiny a postupech při úpravách zařízení výrobny elektřiny.</w:t>
            </w:r>
          </w:p>
        </w:tc>
        <w:tc>
          <w:tcPr>
            <w:tcW w:w="4922" w:type="dxa"/>
            <w:shd w:val="clear" w:color="auto" w:fill="auto"/>
            <w:noWrap/>
            <w:vAlign w:val="bottom"/>
          </w:tcPr>
          <w:p w14:paraId="0A924696" w14:textId="77777777" w:rsidR="00A4231B" w:rsidRPr="006361DB" w:rsidRDefault="00A4231B" w:rsidP="00450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28AA9DFE" w14:textId="77777777" w:rsidR="00A4231B" w:rsidRPr="006361DB" w:rsidRDefault="00A4231B" w:rsidP="00450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33CB8" w:rsidRPr="006361DB" w14:paraId="487FBD18" w14:textId="77777777" w:rsidTr="00A4231B">
        <w:trPr>
          <w:trHeight w:val="582"/>
        </w:trPr>
        <w:tc>
          <w:tcPr>
            <w:tcW w:w="7122" w:type="dxa"/>
            <w:shd w:val="clear" w:color="auto" w:fill="auto"/>
            <w:noWrap/>
            <w:vAlign w:val="center"/>
          </w:tcPr>
          <w:p w14:paraId="4B9B1AD8" w14:textId="57B410AB" w:rsidR="00A33CB8" w:rsidRPr="00DE50B1" w:rsidRDefault="00A33CB8" w:rsidP="00C72F28">
            <w:pPr>
              <w:pStyle w:val="Odstavecseseznamem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50B1">
              <w:rPr>
                <w:rFonts w:ascii="Calibri" w:eastAsia="Times New Roman" w:hAnsi="Calibri" w:cs="Calibri"/>
                <w:color w:val="000000"/>
                <w:lang w:eastAsia="cs-CZ"/>
              </w:rPr>
              <w:t>Přílohou žádosti musí být stanovisko správce povodí vylučující riziko zhoršení či nemožnosti dosažení dobrého stavu nebo dobrého ekologického potenciálu záměrem dotčeného vodního útvaru.</w:t>
            </w:r>
          </w:p>
        </w:tc>
        <w:tc>
          <w:tcPr>
            <w:tcW w:w="4922" w:type="dxa"/>
            <w:shd w:val="clear" w:color="auto" w:fill="auto"/>
            <w:noWrap/>
            <w:vAlign w:val="bottom"/>
          </w:tcPr>
          <w:p w14:paraId="1861B733" w14:textId="77777777" w:rsidR="00A33CB8" w:rsidRPr="006361DB" w:rsidRDefault="00A33CB8" w:rsidP="00450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77BDD420" w14:textId="77777777" w:rsidR="00A33CB8" w:rsidRPr="006361DB" w:rsidRDefault="00A33CB8" w:rsidP="00450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82D83" w:rsidRPr="006361DB" w14:paraId="3AA1DC8C" w14:textId="77777777" w:rsidTr="00A4231B">
        <w:trPr>
          <w:trHeight w:val="582"/>
        </w:trPr>
        <w:tc>
          <w:tcPr>
            <w:tcW w:w="7122" w:type="dxa"/>
            <w:shd w:val="clear" w:color="auto" w:fill="auto"/>
            <w:noWrap/>
            <w:vAlign w:val="center"/>
          </w:tcPr>
          <w:p w14:paraId="2716EA1D" w14:textId="52E4E23C" w:rsidR="00982D83" w:rsidRPr="00DE50B1" w:rsidRDefault="00B52C0D" w:rsidP="00C72F28">
            <w:pPr>
              <w:pStyle w:val="Odstavecseseznamem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50B1">
              <w:rPr>
                <w:rFonts w:ascii="Calibri" w:eastAsia="Times New Roman" w:hAnsi="Calibri" w:cs="Calibri"/>
                <w:color w:val="000000"/>
                <w:lang w:eastAsia="cs-CZ"/>
              </w:rPr>
              <w:t>Podpora výstavby je vyloučená v národních parcích a v prvních a druhých zónách</w:t>
            </w:r>
            <w:r w:rsidR="00A33CB8" w:rsidRPr="00DE50B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DE50B1">
              <w:rPr>
                <w:rFonts w:ascii="Calibri" w:eastAsia="Times New Roman" w:hAnsi="Calibri" w:cs="Calibri"/>
                <w:color w:val="000000"/>
                <w:lang w:eastAsia="cs-CZ"/>
              </w:rPr>
              <w:t>chráněných krajinných oblastí. Dále pak v národních přírodních rezervacích, národních</w:t>
            </w:r>
            <w:r w:rsidR="00A33CB8" w:rsidRPr="00DE50B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DE50B1">
              <w:rPr>
                <w:rFonts w:ascii="Calibri" w:eastAsia="Times New Roman" w:hAnsi="Calibri" w:cs="Calibri"/>
                <w:color w:val="000000"/>
                <w:lang w:eastAsia="cs-CZ"/>
              </w:rPr>
              <w:t>přírodních památkách, přírodních rezervacích a přírodních památkách.</w:t>
            </w:r>
            <w:r w:rsidR="00A33CB8" w:rsidRPr="00DE50B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170522">
              <w:rPr>
                <w:rFonts w:ascii="Calibri" w:eastAsia="Times New Roman" w:hAnsi="Calibri" w:cs="Calibri"/>
                <w:color w:val="000000"/>
                <w:lang w:eastAsia="cs-CZ"/>
              </w:rPr>
              <w:t>Žadatel doloží vyjádření Agentury pro ochranu přírody a krajiny.</w:t>
            </w:r>
          </w:p>
        </w:tc>
        <w:tc>
          <w:tcPr>
            <w:tcW w:w="4922" w:type="dxa"/>
            <w:shd w:val="clear" w:color="auto" w:fill="auto"/>
            <w:noWrap/>
            <w:vAlign w:val="bottom"/>
          </w:tcPr>
          <w:p w14:paraId="352032CD" w14:textId="77777777" w:rsidR="00982D83" w:rsidRPr="004939B0" w:rsidRDefault="00982D83" w:rsidP="004939B0">
            <w:pPr>
              <w:spacing w:before="60" w:after="0" w:line="36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2F49BB44" w14:textId="77777777" w:rsidR="00982D83" w:rsidRPr="006361DB" w:rsidRDefault="00982D83" w:rsidP="00450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33CB8" w:rsidRPr="006361DB" w14:paraId="27C9CB02" w14:textId="77777777" w:rsidTr="00A4231B">
        <w:trPr>
          <w:trHeight w:val="582"/>
        </w:trPr>
        <w:tc>
          <w:tcPr>
            <w:tcW w:w="7122" w:type="dxa"/>
            <w:shd w:val="clear" w:color="auto" w:fill="auto"/>
            <w:noWrap/>
            <w:vAlign w:val="center"/>
          </w:tcPr>
          <w:p w14:paraId="5996D4BF" w14:textId="57F9421A" w:rsidR="00A33CB8" w:rsidRPr="00DE50B1" w:rsidRDefault="00C97D13" w:rsidP="00C72F28">
            <w:pPr>
              <w:pStyle w:val="Odstavecseseznamem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50B1">
              <w:rPr>
                <w:rFonts w:ascii="Calibri" w:eastAsia="Times New Roman" w:hAnsi="Calibri" w:cs="Calibri"/>
                <w:color w:val="000000"/>
                <w:lang w:eastAsia="cs-CZ"/>
              </w:rPr>
              <w:t>MVE nebudou podporovány v EVL</w:t>
            </w:r>
            <w:r w:rsidR="00FC63E4" w:rsidRPr="00DE50B1">
              <w:rPr>
                <w:rStyle w:val="Znakapoznpodarou"/>
                <w:rFonts w:ascii="Calibri" w:eastAsia="Times New Roman" w:hAnsi="Calibri" w:cs="Calibri"/>
                <w:color w:val="000000"/>
                <w:lang w:eastAsia="cs-CZ"/>
              </w:rPr>
              <w:footnoteReference w:id="8"/>
            </w:r>
            <w:r w:rsidRPr="00DE50B1">
              <w:rPr>
                <w:rFonts w:ascii="Calibri" w:eastAsia="Times New Roman" w:hAnsi="Calibri" w:cs="Calibri"/>
                <w:color w:val="000000"/>
                <w:lang w:eastAsia="cs-CZ"/>
              </w:rPr>
              <w:t>, ve kterých jsou předmětem ochrany druhy a stanoviště vázané na vodu včetně břehových a nivních společenstev. MVE nebudou podporovány ani mimo EVL, pokud budou mít dopad na uvedené předměty ochrany.</w:t>
            </w:r>
            <w:r w:rsidR="0017052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Žadatel doloží vyjádření Agentury pro ochranu přírody a krajiny.</w:t>
            </w:r>
          </w:p>
        </w:tc>
        <w:tc>
          <w:tcPr>
            <w:tcW w:w="4922" w:type="dxa"/>
            <w:shd w:val="clear" w:color="auto" w:fill="auto"/>
            <w:noWrap/>
            <w:vAlign w:val="bottom"/>
          </w:tcPr>
          <w:p w14:paraId="0A6C7EE1" w14:textId="77777777" w:rsidR="00A33CB8" w:rsidRPr="006361DB" w:rsidRDefault="00A33CB8" w:rsidP="00450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7F4C28E5" w14:textId="77777777" w:rsidR="00A33CB8" w:rsidRPr="006361DB" w:rsidRDefault="00A33CB8" w:rsidP="00450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D081C" w:rsidRPr="006361DB" w14:paraId="40514A1B" w14:textId="77777777" w:rsidTr="00A4231B">
        <w:trPr>
          <w:trHeight w:val="582"/>
        </w:trPr>
        <w:tc>
          <w:tcPr>
            <w:tcW w:w="7122" w:type="dxa"/>
            <w:shd w:val="clear" w:color="auto" w:fill="auto"/>
            <w:noWrap/>
            <w:vAlign w:val="center"/>
          </w:tcPr>
          <w:p w14:paraId="72DF2C25" w14:textId="7B17ABEE" w:rsidR="007D081C" w:rsidRPr="00DE50B1" w:rsidRDefault="007D081C" w:rsidP="004053D4">
            <w:pPr>
              <w:pStyle w:val="Odstavecseseznamem"/>
              <w:numPr>
                <w:ilvl w:val="0"/>
                <w:numId w:val="54"/>
              </w:num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08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Realizace projektu na plochách zemědělského půdního fondu   v případě tříd ochrany </w:t>
            </w:r>
            <w:proofErr w:type="gramStart"/>
            <w:r w:rsidRPr="007D081C">
              <w:rPr>
                <w:rFonts w:ascii="Calibri" w:eastAsia="Times New Roman" w:hAnsi="Calibri" w:cs="Calibri"/>
                <w:color w:val="000000"/>
                <w:lang w:eastAsia="cs-CZ"/>
              </w:rPr>
              <w:t>dle  bonitované</w:t>
            </w:r>
            <w:proofErr w:type="gramEnd"/>
            <w:r w:rsidRPr="007D08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půdní ekologické jednotky (BPEJ) I. a II. je možné pouze v případě, že i po realizaci projektu nedojde ke zhoršení kvality této zemědělské půdy. Na zemědělských půdách s nižší bonitou, tj. III. až V., je možné projekt realizovat, a to pouze za </w:t>
            </w:r>
            <w:r w:rsidRPr="007D081C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předpokladu povolení využívání dotčeného pozemku pro realizaci projektu příslušnými orgány státní správy. </w:t>
            </w:r>
          </w:p>
        </w:tc>
        <w:tc>
          <w:tcPr>
            <w:tcW w:w="4922" w:type="dxa"/>
            <w:shd w:val="clear" w:color="auto" w:fill="auto"/>
            <w:noWrap/>
            <w:vAlign w:val="bottom"/>
          </w:tcPr>
          <w:p w14:paraId="76AD69AB" w14:textId="77777777" w:rsidR="007D081C" w:rsidRPr="006361DB" w:rsidRDefault="007D081C" w:rsidP="00450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75BBCA6A" w14:textId="77777777" w:rsidR="007D081C" w:rsidRPr="006361DB" w:rsidRDefault="007D081C" w:rsidP="00450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77DB26A0" w14:textId="58828D25" w:rsidR="000113AC" w:rsidRDefault="000113AC" w:rsidP="00FF2B8C">
      <w:pPr>
        <w:jc w:val="both"/>
      </w:pPr>
    </w:p>
    <w:p w14:paraId="236DAF5E" w14:textId="7AE90B4C" w:rsidR="004631EE" w:rsidRDefault="004631EE" w:rsidP="004631EE">
      <w:pPr>
        <w:jc w:val="right"/>
      </w:pPr>
      <w:r>
        <w:t>Potvrzení žadatele</w:t>
      </w:r>
    </w:p>
    <w:p w14:paraId="4EE64E8D" w14:textId="77777777" w:rsidR="00CC0943" w:rsidRDefault="00CC0943" w:rsidP="00CC0943"/>
    <w:sectPr w:rsidR="00CC0943" w:rsidSect="006361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41B4E" w14:textId="77777777" w:rsidR="00AA12E8" w:rsidRDefault="00AA12E8" w:rsidP="00677FE0">
      <w:pPr>
        <w:spacing w:after="0" w:line="240" w:lineRule="auto"/>
      </w:pPr>
      <w:r>
        <w:separator/>
      </w:r>
    </w:p>
  </w:endnote>
  <w:endnote w:type="continuationSeparator" w:id="0">
    <w:p w14:paraId="274888B7" w14:textId="77777777" w:rsidR="00AA12E8" w:rsidRDefault="00AA12E8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ED627" w14:textId="77777777" w:rsidR="00677FE0" w:rsidRDefault="00677F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964A5" w14:textId="77777777" w:rsidR="00677FE0" w:rsidRDefault="00677F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E2AF3" w14:textId="77777777" w:rsidR="00677FE0" w:rsidRDefault="00677F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70CC1" w14:textId="77777777" w:rsidR="00AA12E8" w:rsidRDefault="00AA12E8" w:rsidP="00677FE0">
      <w:pPr>
        <w:spacing w:after="0" w:line="240" w:lineRule="auto"/>
      </w:pPr>
      <w:r>
        <w:separator/>
      </w:r>
    </w:p>
  </w:footnote>
  <w:footnote w:type="continuationSeparator" w:id="0">
    <w:p w14:paraId="00F48AB7" w14:textId="77777777" w:rsidR="00AA12E8" w:rsidRDefault="00AA12E8" w:rsidP="00677FE0">
      <w:pPr>
        <w:spacing w:after="0" w:line="240" w:lineRule="auto"/>
      </w:pPr>
      <w:r>
        <w:continuationSeparator/>
      </w:r>
    </w:p>
  </w:footnote>
  <w:footnote w:id="1">
    <w:p w14:paraId="418F2926" w14:textId="243984FB" w:rsidR="003B3F6E" w:rsidRDefault="003B3F6E">
      <w:pPr>
        <w:pStyle w:val="Textpoznpodarou"/>
      </w:pPr>
      <w:r>
        <w:rPr>
          <w:rStyle w:val="Znakapoznpodarou"/>
        </w:rPr>
        <w:footnoteRef/>
      </w:r>
      <w:r>
        <w:t xml:space="preserve"> Energetický specialista zadá relevantní hodnotu nebo popis s odkazem na zdroj dat v energetické posudku. Na základě uvedené hodnoty a popisu určí zda je specifická podmínka splněna.</w:t>
      </w:r>
    </w:p>
  </w:footnote>
  <w:footnote w:id="2">
    <w:p w14:paraId="0740D3E3" w14:textId="77777777" w:rsidR="00123132" w:rsidRDefault="00123132" w:rsidP="000716A2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Absolutní emise z projektu vycházejí z ohraničení projektu, které zahrnuje všechny významné a nepřímé emise skleníkových plynů (navrhovaný stav).</w:t>
      </w:r>
    </w:p>
  </w:footnote>
  <w:footnote w:id="3">
    <w:p w14:paraId="5D0D5499" w14:textId="77777777" w:rsidR="00123132" w:rsidRDefault="00123132" w:rsidP="000716A2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Relativní emise vycházejí z ohraničení projektu, které přiměřeně zahrnuje scénáře „s projektem“ a „bez projektu“ (většinou výchozí stav). Zahrnuje všechny významné přímé a nepřímé emise skleníkových plynů. Relativní emise jsou pak rozdílem </w:t>
      </w:r>
      <w:r w:rsidR="005F242A">
        <w:t>absolutních emisí a výchozího stavu projektu.</w:t>
      </w:r>
    </w:p>
  </w:footnote>
  <w:footnote w:id="4">
    <w:p w14:paraId="23FA4D64" w14:textId="422B69B1" w:rsidR="003B3F6E" w:rsidRDefault="003B3F6E" w:rsidP="003B3F6E">
      <w:pPr>
        <w:pStyle w:val="Textpoznpodarou"/>
      </w:pPr>
      <w:r>
        <w:rPr>
          <w:rStyle w:val="Znakapoznpodarou"/>
        </w:rPr>
        <w:footnoteRef/>
      </w:r>
      <w:r>
        <w:t xml:space="preserve"> Žadatel zadá popis. Na základě uveden</w:t>
      </w:r>
      <w:r w:rsidR="00FC429B">
        <w:t xml:space="preserve">ého </w:t>
      </w:r>
      <w:r>
        <w:t xml:space="preserve">popisu </w:t>
      </w:r>
      <w:r w:rsidR="00FC429B">
        <w:t xml:space="preserve">se </w:t>
      </w:r>
      <w:r>
        <w:t xml:space="preserve">určí zda je specifická podmínka splněna. </w:t>
      </w:r>
    </w:p>
    <w:p w14:paraId="48982821" w14:textId="4174414F" w:rsidR="003B3F6E" w:rsidRDefault="003B3F6E">
      <w:pPr>
        <w:pStyle w:val="Textpoznpodarou"/>
      </w:pPr>
    </w:p>
  </w:footnote>
  <w:footnote w:id="5">
    <w:p w14:paraId="5EABD482" w14:textId="77777777" w:rsidR="00233038" w:rsidRDefault="00233038" w:rsidP="00233038">
      <w:pPr>
        <w:pStyle w:val="Textpoznpodarou"/>
      </w:pPr>
      <w:r>
        <w:rPr>
          <w:rStyle w:val="Znakapoznpodarou"/>
        </w:rPr>
        <w:footnoteRef/>
      </w:r>
      <w:r>
        <w:t xml:space="preserve"> Norma ISO 14067:2018, Skleníkové plyny – Uhlíková stopa produktů – Požadavky a směrnice pro kvantifikaci (verze z 4.6.2021: https://www.iso.org/standard/71206.html).</w:t>
      </w:r>
    </w:p>
  </w:footnote>
  <w:footnote w:id="6">
    <w:p w14:paraId="0104691B" w14:textId="77777777" w:rsidR="00233038" w:rsidRDefault="00233038" w:rsidP="00233038">
      <w:pPr>
        <w:pStyle w:val="Textpoznpodarou"/>
      </w:pPr>
      <w:r>
        <w:rPr>
          <w:rStyle w:val="Znakapoznpodarou"/>
        </w:rPr>
        <w:footnoteRef/>
      </w:r>
      <w:r>
        <w:t xml:space="preserve"> Norma ISO 14064-1:2018, Skleníkové plyny – Část 1: Specifikace s návodem pro stanovení a vykazování emisí a propadů skleníkových plynů pro organizace (verze z 4.6.2021: </w:t>
      </w:r>
      <w:hyperlink r:id="rId1" w:history="1">
        <w:r w:rsidRPr="00B6760A">
          <w:rPr>
            <w:rStyle w:val="Hypertextovodkaz"/>
          </w:rPr>
          <w:t>https://www.iso.org/standard/66453.html</w:t>
        </w:r>
      </w:hyperlink>
      <w:r>
        <w:t>).</w:t>
      </w:r>
    </w:p>
  </w:footnote>
  <w:footnote w:id="7">
    <w:p w14:paraId="2140D72D" w14:textId="77777777" w:rsidR="00233038" w:rsidRDefault="00233038" w:rsidP="00233038">
      <w:pPr>
        <w:pStyle w:val="Textpoznpodarou"/>
      </w:pPr>
      <w:r>
        <w:rPr>
          <w:rStyle w:val="Znakapoznpodarou"/>
        </w:rPr>
        <w:footnoteRef/>
      </w:r>
      <w:r>
        <w:t xml:space="preserve"> Veřejně dostupný online nástroj vytvořený Mezinárodním hydroenergetickým sdružením (IHA) ve spolupráci s týmem UNESCO pro celosvětové změny životního prostředí (verze z 4.6.2021: https://www.hydropower.org/gres).</w:t>
      </w:r>
    </w:p>
  </w:footnote>
  <w:footnote w:id="8">
    <w:p w14:paraId="02295075" w14:textId="1C501706" w:rsidR="00FC63E4" w:rsidRDefault="00FC63E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C63E4">
        <w:t xml:space="preserve">Evropsky významné lokality jsou do národního seznamu v souladu s § </w:t>
      </w:r>
      <w:proofErr w:type="gramStart"/>
      <w:r w:rsidRPr="00FC63E4">
        <w:t>45a</w:t>
      </w:r>
      <w:proofErr w:type="gramEnd"/>
      <w:r w:rsidRPr="00FC63E4">
        <w:t xml:space="preserve"> zákona č. 114/1992 Sb., o ochraně přírody a krajiny, v platném znění, zařazovány nařízením vlády.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236C3" w14:textId="77777777" w:rsidR="00677FE0" w:rsidRDefault="00677F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B1B4" w14:textId="77777777" w:rsidR="00677FE0" w:rsidRDefault="00677FE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18C4" w14:textId="77777777" w:rsidR="00677FE0" w:rsidRDefault="00677F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64212C"/>
    <w:multiLevelType w:val="hybridMultilevel"/>
    <w:tmpl w:val="959611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79347F"/>
    <w:multiLevelType w:val="multilevel"/>
    <w:tmpl w:val="3320A8B2"/>
    <w:numStyleLink w:val="VariantaB-odrky"/>
  </w:abstractNum>
  <w:abstractNum w:abstractNumId="11" w15:restartNumberingAfterBreak="0">
    <w:nsid w:val="04D643EE"/>
    <w:multiLevelType w:val="multilevel"/>
    <w:tmpl w:val="E8A48D7C"/>
    <w:numStyleLink w:val="VariantaA-sla"/>
  </w:abstractNum>
  <w:abstractNum w:abstractNumId="12" w15:restartNumberingAfterBreak="0">
    <w:nsid w:val="09176225"/>
    <w:multiLevelType w:val="hybridMultilevel"/>
    <w:tmpl w:val="EB5A631A"/>
    <w:lvl w:ilvl="0" w:tplc="7AB05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6093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FC49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EE89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4A0C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A28D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D04B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A2BD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2EA2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DD4BBA"/>
    <w:multiLevelType w:val="multilevel"/>
    <w:tmpl w:val="E8BAE50A"/>
    <w:numStyleLink w:val="VariantaA-odrky"/>
  </w:abstractNum>
  <w:abstractNum w:abstractNumId="14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5" w15:restartNumberingAfterBreak="0">
    <w:nsid w:val="100F3D6E"/>
    <w:multiLevelType w:val="hybridMultilevel"/>
    <w:tmpl w:val="ED9E6318"/>
    <w:lvl w:ilvl="0" w:tplc="194CDE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D7638C"/>
    <w:multiLevelType w:val="hybridMultilevel"/>
    <w:tmpl w:val="C1A2E99A"/>
    <w:lvl w:ilvl="0" w:tplc="194CDE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0316F8"/>
    <w:multiLevelType w:val="multilevel"/>
    <w:tmpl w:val="3320A8B2"/>
    <w:numStyleLink w:val="VariantaB-odrky"/>
  </w:abstractNum>
  <w:abstractNum w:abstractNumId="18" w15:restartNumberingAfterBreak="0">
    <w:nsid w:val="13FB2F1F"/>
    <w:multiLevelType w:val="multilevel"/>
    <w:tmpl w:val="E8BAE50A"/>
    <w:numStyleLink w:val="VariantaA-odrky"/>
  </w:abstractNum>
  <w:abstractNum w:abstractNumId="19" w15:restartNumberingAfterBreak="0">
    <w:nsid w:val="15587B24"/>
    <w:multiLevelType w:val="multilevel"/>
    <w:tmpl w:val="E8BAE50A"/>
    <w:numStyleLink w:val="VariantaA-odrky"/>
  </w:abstractNum>
  <w:abstractNum w:abstractNumId="20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21" w15:restartNumberingAfterBreak="0">
    <w:nsid w:val="191872DA"/>
    <w:multiLevelType w:val="multilevel"/>
    <w:tmpl w:val="E8A48D7C"/>
    <w:numStyleLink w:val="VariantaA-sla"/>
  </w:abstractNum>
  <w:abstractNum w:abstractNumId="22" w15:restartNumberingAfterBreak="0">
    <w:nsid w:val="19987FCF"/>
    <w:multiLevelType w:val="multilevel"/>
    <w:tmpl w:val="0D8ABE32"/>
    <w:numStyleLink w:val="VariantaB-sla"/>
  </w:abstractNum>
  <w:abstractNum w:abstractNumId="23" w15:restartNumberingAfterBreak="0">
    <w:nsid w:val="1D3068A6"/>
    <w:multiLevelType w:val="multilevel"/>
    <w:tmpl w:val="3320A8B2"/>
    <w:numStyleLink w:val="VariantaB-odrky"/>
  </w:abstractNum>
  <w:abstractNum w:abstractNumId="24" w15:restartNumberingAfterBreak="0">
    <w:nsid w:val="1D464EC2"/>
    <w:multiLevelType w:val="multilevel"/>
    <w:tmpl w:val="E8BAE50A"/>
    <w:numStyleLink w:val="VariantaA-odrky"/>
  </w:abstractNum>
  <w:abstractNum w:abstractNumId="25" w15:restartNumberingAfterBreak="0">
    <w:nsid w:val="1D86602C"/>
    <w:multiLevelType w:val="hybridMultilevel"/>
    <w:tmpl w:val="2F80B2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AB39CE"/>
    <w:multiLevelType w:val="multilevel"/>
    <w:tmpl w:val="E8BAE50A"/>
    <w:numStyleLink w:val="VariantaA-odrky"/>
  </w:abstractNum>
  <w:abstractNum w:abstractNumId="27" w15:restartNumberingAfterBreak="0">
    <w:nsid w:val="1F4439BF"/>
    <w:multiLevelType w:val="hybridMultilevel"/>
    <w:tmpl w:val="EA903B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57773D"/>
    <w:multiLevelType w:val="hybridMultilevel"/>
    <w:tmpl w:val="1DD019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FD1ADB"/>
    <w:multiLevelType w:val="hybridMultilevel"/>
    <w:tmpl w:val="F8405C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9A5EA2"/>
    <w:multiLevelType w:val="multilevel"/>
    <w:tmpl w:val="E8BAE50A"/>
    <w:numStyleLink w:val="VariantaA-odrky"/>
  </w:abstractNum>
  <w:abstractNum w:abstractNumId="31" w15:restartNumberingAfterBreak="0">
    <w:nsid w:val="28AB573E"/>
    <w:multiLevelType w:val="multilevel"/>
    <w:tmpl w:val="3320A8B2"/>
    <w:numStyleLink w:val="VariantaB-odrky"/>
  </w:abstractNum>
  <w:abstractNum w:abstractNumId="32" w15:restartNumberingAfterBreak="0">
    <w:nsid w:val="2A5F2D39"/>
    <w:multiLevelType w:val="multilevel"/>
    <w:tmpl w:val="E8BAE50A"/>
    <w:numStyleLink w:val="VariantaA-odrky"/>
  </w:abstractNum>
  <w:abstractNum w:abstractNumId="33" w15:restartNumberingAfterBreak="0">
    <w:nsid w:val="2C3229E4"/>
    <w:multiLevelType w:val="hybridMultilevel"/>
    <w:tmpl w:val="4BB6E2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BB2CE6"/>
    <w:multiLevelType w:val="multilevel"/>
    <w:tmpl w:val="E8BAE50A"/>
    <w:numStyleLink w:val="VariantaA-odrky"/>
  </w:abstractNum>
  <w:abstractNum w:abstractNumId="35" w15:restartNumberingAfterBreak="0">
    <w:nsid w:val="355131EF"/>
    <w:multiLevelType w:val="multilevel"/>
    <w:tmpl w:val="E8A48D7C"/>
    <w:numStyleLink w:val="VariantaA-sla"/>
  </w:abstractNum>
  <w:abstractNum w:abstractNumId="36" w15:restartNumberingAfterBreak="0">
    <w:nsid w:val="38D4669A"/>
    <w:multiLevelType w:val="hybridMultilevel"/>
    <w:tmpl w:val="D27469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BA21B9"/>
    <w:multiLevelType w:val="hybridMultilevel"/>
    <w:tmpl w:val="F094F7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00968D8"/>
    <w:multiLevelType w:val="hybridMultilevel"/>
    <w:tmpl w:val="00AE77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F075BB"/>
    <w:multiLevelType w:val="hybridMultilevel"/>
    <w:tmpl w:val="A920C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32639A3"/>
    <w:multiLevelType w:val="hybridMultilevel"/>
    <w:tmpl w:val="821A99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1B0B61"/>
    <w:multiLevelType w:val="hybridMultilevel"/>
    <w:tmpl w:val="4BB6E2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306389"/>
    <w:multiLevelType w:val="multilevel"/>
    <w:tmpl w:val="E8BAE50A"/>
    <w:numStyleLink w:val="VariantaA-odrky"/>
  </w:abstractNum>
  <w:abstractNum w:abstractNumId="43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53290926"/>
    <w:multiLevelType w:val="multilevel"/>
    <w:tmpl w:val="E8BAE50A"/>
    <w:numStyleLink w:val="VariantaA-odrky"/>
  </w:abstractNum>
  <w:abstractNum w:abstractNumId="45" w15:restartNumberingAfterBreak="0">
    <w:nsid w:val="533902EA"/>
    <w:multiLevelType w:val="multilevel"/>
    <w:tmpl w:val="E8BAE50A"/>
    <w:numStyleLink w:val="VariantaA-odrky"/>
  </w:abstractNum>
  <w:abstractNum w:abstractNumId="46" w15:restartNumberingAfterBreak="0">
    <w:nsid w:val="571C11E2"/>
    <w:multiLevelType w:val="multilevel"/>
    <w:tmpl w:val="E8A48D7C"/>
    <w:numStyleLink w:val="VariantaA-sla"/>
  </w:abstractNum>
  <w:abstractNum w:abstractNumId="47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48" w15:restartNumberingAfterBreak="0">
    <w:nsid w:val="5AF35F43"/>
    <w:multiLevelType w:val="multilevel"/>
    <w:tmpl w:val="0D8ABE32"/>
    <w:numStyleLink w:val="VariantaB-sla"/>
  </w:abstractNum>
  <w:abstractNum w:abstractNumId="49" w15:restartNumberingAfterBreak="0">
    <w:nsid w:val="67E3309F"/>
    <w:multiLevelType w:val="hybridMultilevel"/>
    <w:tmpl w:val="88EEB2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F8067A"/>
    <w:multiLevelType w:val="hybridMultilevel"/>
    <w:tmpl w:val="8CA296A4"/>
    <w:lvl w:ilvl="0" w:tplc="D53042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1C4501"/>
    <w:multiLevelType w:val="hybridMultilevel"/>
    <w:tmpl w:val="61EC2B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3233E3"/>
    <w:multiLevelType w:val="hybridMultilevel"/>
    <w:tmpl w:val="180259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7"/>
  </w:num>
  <w:num w:numId="3">
    <w:abstractNumId w:val="23"/>
  </w:num>
  <w:num w:numId="4">
    <w:abstractNumId w:val="18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43"/>
  </w:num>
  <w:num w:numId="7">
    <w:abstractNumId w:val="7"/>
  </w:num>
  <w:num w:numId="8">
    <w:abstractNumId w:val="46"/>
  </w:num>
  <w:num w:numId="9">
    <w:abstractNumId w:val="5"/>
    <w:lvlOverride w:ilvl="5">
      <w:lvl w:ilvl="5">
        <w:start w:val="1"/>
        <w:numFmt w:val="decimal"/>
        <w:lvlText w:val="%1.%2.%3.%4.%5.%6."/>
        <w:lvlJc w:val="left"/>
        <w:pPr>
          <w:ind w:left="3969" w:hanging="794"/>
        </w:pPr>
        <w:rPr>
          <w:rFonts w:hint="default"/>
        </w:rPr>
      </w:lvl>
    </w:lvlOverride>
  </w:num>
  <w:num w:numId="10">
    <w:abstractNumId w:val="2"/>
  </w:num>
  <w:num w:numId="11">
    <w:abstractNumId w:val="1"/>
  </w:num>
  <w:num w:numId="12">
    <w:abstractNumId w:val="0"/>
  </w:num>
  <w:num w:numId="13">
    <w:abstractNumId w:val="45"/>
  </w:num>
  <w:num w:numId="14">
    <w:abstractNumId w:val="4"/>
  </w:num>
  <w:num w:numId="15">
    <w:abstractNumId w:val="3"/>
  </w:num>
  <w:num w:numId="16">
    <w:abstractNumId w:val="43"/>
  </w:num>
  <w:num w:numId="17">
    <w:abstractNumId w:val="24"/>
  </w:num>
  <w:num w:numId="18">
    <w:abstractNumId w:val="6"/>
  </w:num>
  <w:num w:numId="19">
    <w:abstractNumId w:val="14"/>
  </w:num>
  <w:num w:numId="20">
    <w:abstractNumId w:val="8"/>
  </w:num>
  <w:num w:numId="21">
    <w:abstractNumId w:val="35"/>
  </w:num>
  <w:num w:numId="22">
    <w:abstractNumId w:val="11"/>
  </w:num>
  <w:num w:numId="23">
    <w:abstractNumId w:val="26"/>
  </w:num>
  <w:num w:numId="24">
    <w:abstractNumId w:val="13"/>
  </w:num>
  <w:num w:numId="25">
    <w:abstractNumId w:val="19"/>
  </w:num>
  <w:num w:numId="26">
    <w:abstractNumId w:val="42"/>
  </w:num>
  <w:num w:numId="27">
    <w:abstractNumId w:val="34"/>
  </w:num>
  <w:num w:numId="28">
    <w:abstractNumId w:val="32"/>
  </w:num>
  <w:num w:numId="29">
    <w:abstractNumId w:val="22"/>
  </w:num>
  <w:num w:numId="30">
    <w:abstractNumId w:val="44"/>
  </w:num>
  <w:num w:numId="31">
    <w:abstractNumId w:val="48"/>
  </w:num>
  <w:num w:numId="32">
    <w:abstractNumId w:val="30"/>
  </w:num>
  <w:num w:numId="33">
    <w:abstractNumId w:val="21"/>
  </w:num>
  <w:num w:numId="34">
    <w:abstractNumId w:val="10"/>
  </w:num>
  <w:num w:numId="35">
    <w:abstractNumId w:val="31"/>
  </w:num>
  <w:num w:numId="36">
    <w:abstractNumId w:val="17"/>
  </w:num>
  <w:num w:numId="37">
    <w:abstractNumId w:val="9"/>
  </w:num>
  <w:num w:numId="38">
    <w:abstractNumId w:val="39"/>
  </w:num>
  <w:num w:numId="39">
    <w:abstractNumId w:val="50"/>
  </w:num>
  <w:num w:numId="40">
    <w:abstractNumId w:val="28"/>
  </w:num>
  <w:num w:numId="41">
    <w:abstractNumId w:val="36"/>
  </w:num>
  <w:num w:numId="42">
    <w:abstractNumId w:val="52"/>
  </w:num>
  <w:num w:numId="43">
    <w:abstractNumId w:val="25"/>
  </w:num>
  <w:num w:numId="44">
    <w:abstractNumId w:val="40"/>
  </w:num>
  <w:num w:numId="45">
    <w:abstractNumId w:val="49"/>
  </w:num>
  <w:num w:numId="46">
    <w:abstractNumId w:val="15"/>
  </w:num>
  <w:num w:numId="47">
    <w:abstractNumId w:val="41"/>
  </w:num>
  <w:num w:numId="48">
    <w:abstractNumId w:val="38"/>
  </w:num>
  <w:num w:numId="49">
    <w:abstractNumId w:val="29"/>
  </w:num>
  <w:num w:numId="50">
    <w:abstractNumId w:val="27"/>
  </w:num>
  <w:num w:numId="51">
    <w:abstractNumId w:val="37"/>
  </w:num>
  <w:num w:numId="52">
    <w:abstractNumId w:val="33"/>
  </w:num>
  <w:num w:numId="53">
    <w:abstractNumId w:val="16"/>
  </w:num>
  <w:num w:numId="54">
    <w:abstractNumId w:val="51"/>
  </w:num>
  <w:num w:numId="55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1DB"/>
    <w:rsid w:val="00000EAF"/>
    <w:rsid w:val="000113AC"/>
    <w:rsid w:val="00015306"/>
    <w:rsid w:val="0002674B"/>
    <w:rsid w:val="0004162E"/>
    <w:rsid w:val="0004786B"/>
    <w:rsid w:val="00055201"/>
    <w:rsid w:val="00055BEA"/>
    <w:rsid w:val="00063405"/>
    <w:rsid w:val="00063F27"/>
    <w:rsid w:val="000716A2"/>
    <w:rsid w:val="000809B9"/>
    <w:rsid w:val="00090B40"/>
    <w:rsid w:val="000925B9"/>
    <w:rsid w:val="00095A0A"/>
    <w:rsid w:val="000B1B3D"/>
    <w:rsid w:val="000B7887"/>
    <w:rsid w:val="000C4CAF"/>
    <w:rsid w:val="000E1653"/>
    <w:rsid w:val="00121485"/>
    <w:rsid w:val="00123132"/>
    <w:rsid w:val="00125F56"/>
    <w:rsid w:val="001268B0"/>
    <w:rsid w:val="001376FC"/>
    <w:rsid w:val="00170522"/>
    <w:rsid w:val="001729C1"/>
    <w:rsid w:val="0018051B"/>
    <w:rsid w:val="001811EB"/>
    <w:rsid w:val="00182050"/>
    <w:rsid w:val="001826ED"/>
    <w:rsid w:val="00193370"/>
    <w:rsid w:val="001A0974"/>
    <w:rsid w:val="001B1E4A"/>
    <w:rsid w:val="001C123F"/>
    <w:rsid w:val="001C762F"/>
    <w:rsid w:val="001C78C8"/>
    <w:rsid w:val="001D27C0"/>
    <w:rsid w:val="001E74C3"/>
    <w:rsid w:val="001F6937"/>
    <w:rsid w:val="00220DE3"/>
    <w:rsid w:val="00222891"/>
    <w:rsid w:val="00233038"/>
    <w:rsid w:val="00234974"/>
    <w:rsid w:val="00243BA2"/>
    <w:rsid w:val="00246DB2"/>
    <w:rsid w:val="0025290D"/>
    <w:rsid w:val="00255278"/>
    <w:rsid w:val="00260372"/>
    <w:rsid w:val="00262DAF"/>
    <w:rsid w:val="00280AFB"/>
    <w:rsid w:val="00281420"/>
    <w:rsid w:val="00285AED"/>
    <w:rsid w:val="002B4B05"/>
    <w:rsid w:val="002E2442"/>
    <w:rsid w:val="002F0E8C"/>
    <w:rsid w:val="00310FA0"/>
    <w:rsid w:val="00320481"/>
    <w:rsid w:val="003250CB"/>
    <w:rsid w:val="003451CE"/>
    <w:rsid w:val="00363201"/>
    <w:rsid w:val="0037314B"/>
    <w:rsid w:val="0039063C"/>
    <w:rsid w:val="003A46A8"/>
    <w:rsid w:val="003A5013"/>
    <w:rsid w:val="003A51AA"/>
    <w:rsid w:val="003B3F6E"/>
    <w:rsid w:val="003B565A"/>
    <w:rsid w:val="003D00A1"/>
    <w:rsid w:val="003D0656"/>
    <w:rsid w:val="004053D4"/>
    <w:rsid w:val="00413909"/>
    <w:rsid w:val="0041427F"/>
    <w:rsid w:val="00425395"/>
    <w:rsid w:val="004509E5"/>
    <w:rsid w:val="004631EE"/>
    <w:rsid w:val="004635E5"/>
    <w:rsid w:val="00463B6B"/>
    <w:rsid w:val="00476FA8"/>
    <w:rsid w:val="004842DF"/>
    <w:rsid w:val="00486FB9"/>
    <w:rsid w:val="004939B0"/>
    <w:rsid w:val="004B290D"/>
    <w:rsid w:val="004C212A"/>
    <w:rsid w:val="004C2CEE"/>
    <w:rsid w:val="004C4D8F"/>
    <w:rsid w:val="004D08F5"/>
    <w:rsid w:val="004D28EB"/>
    <w:rsid w:val="00500232"/>
    <w:rsid w:val="00504668"/>
    <w:rsid w:val="00511BDF"/>
    <w:rsid w:val="00533339"/>
    <w:rsid w:val="005455E1"/>
    <w:rsid w:val="005502BD"/>
    <w:rsid w:val="00552BC1"/>
    <w:rsid w:val="005555D1"/>
    <w:rsid w:val="00556787"/>
    <w:rsid w:val="00582276"/>
    <w:rsid w:val="00594E8D"/>
    <w:rsid w:val="005B062D"/>
    <w:rsid w:val="005C2560"/>
    <w:rsid w:val="005D45AF"/>
    <w:rsid w:val="005E5696"/>
    <w:rsid w:val="005F242A"/>
    <w:rsid w:val="005F69D0"/>
    <w:rsid w:val="005F7585"/>
    <w:rsid w:val="006010E1"/>
    <w:rsid w:val="00605759"/>
    <w:rsid w:val="0061343A"/>
    <w:rsid w:val="00630F96"/>
    <w:rsid w:val="00633D02"/>
    <w:rsid w:val="006361DB"/>
    <w:rsid w:val="00650C6C"/>
    <w:rsid w:val="00652FE6"/>
    <w:rsid w:val="0066607C"/>
    <w:rsid w:val="00667898"/>
    <w:rsid w:val="00677FE0"/>
    <w:rsid w:val="00697E9A"/>
    <w:rsid w:val="006B4A72"/>
    <w:rsid w:val="006C45C2"/>
    <w:rsid w:val="006D04EF"/>
    <w:rsid w:val="006E05F0"/>
    <w:rsid w:val="006E2FB0"/>
    <w:rsid w:val="007102D2"/>
    <w:rsid w:val="00713948"/>
    <w:rsid w:val="00753A27"/>
    <w:rsid w:val="0079342A"/>
    <w:rsid w:val="007B4949"/>
    <w:rsid w:val="007D081C"/>
    <w:rsid w:val="007F0BC6"/>
    <w:rsid w:val="007F5FEB"/>
    <w:rsid w:val="00831374"/>
    <w:rsid w:val="00857580"/>
    <w:rsid w:val="00865238"/>
    <w:rsid w:val="008667BF"/>
    <w:rsid w:val="00895645"/>
    <w:rsid w:val="008A7851"/>
    <w:rsid w:val="008C2114"/>
    <w:rsid w:val="008C3782"/>
    <w:rsid w:val="008D4A32"/>
    <w:rsid w:val="008D593A"/>
    <w:rsid w:val="008E1AFF"/>
    <w:rsid w:val="008E6F42"/>
    <w:rsid w:val="008E7760"/>
    <w:rsid w:val="008F4745"/>
    <w:rsid w:val="00914ADB"/>
    <w:rsid w:val="0091520F"/>
    <w:rsid w:val="00922001"/>
    <w:rsid w:val="00922C17"/>
    <w:rsid w:val="00935200"/>
    <w:rsid w:val="00942DDD"/>
    <w:rsid w:val="009516A8"/>
    <w:rsid w:val="0097705C"/>
    <w:rsid w:val="00982D83"/>
    <w:rsid w:val="00991F93"/>
    <w:rsid w:val="009B0859"/>
    <w:rsid w:val="009F2906"/>
    <w:rsid w:val="009F393D"/>
    <w:rsid w:val="009F7F46"/>
    <w:rsid w:val="00A000BF"/>
    <w:rsid w:val="00A01A58"/>
    <w:rsid w:val="00A0587E"/>
    <w:rsid w:val="00A275BC"/>
    <w:rsid w:val="00A33CB8"/>
    <w:rsid w:val="00A4231B"/>
    <w:rsid w:val="00A464B4"/>
    <w:rsid w:val="00A63D6B"/>
    <w:rsid w:val="00A82C98"/>
    <w:rsid w:val="00A84B52"/>
    <w:rsid w:val="00A8660F"/>
    <w:rsid w:val="00A95C48"/>
    <w:rsid w:val="00AA12E8"/>
    <w:rsid w:val="00AA7056"/>
    <w:rsid w:val="00AB31C6"/>
    <w:rsid w:val="00AB523B"/>
    <w:rsid w:val="00AC79CE"/>
    <w:rsid w:val="00AD7578"/>
    <w:rsid w:val="00AD7E40"/>
    <w:rsid w:val="00AE2F98"/>
    <w:rsid w:val="00AE5D35"/>
    <w:rsid w:val="00B02390"/>
    <w:rsid w:val="00B07734"/>
    <w:rsid w:val="00B1477A"/>
    <w:rsid w:val="00B20993"/>
    <w:rsid w:val="00B21435"/>
    <w:rsid w:val="00B21456"/>
    <w:rsid w:val="00B35DC1"/>
    <w:rsid w:val="00B42E96"/>
    <w:rsid w:val="00B50EE6"/>
    <w:rsid w:val="00B52185"/>
    <w:rsid w:val="00B52C0D"/>
    <w:rsid w:val="00B60DCB"/>
    <w:rsid w:val="00B61967"/>
    <w:rsid w:val="00B806C2"/>
    <w:rsid w:val="00B861E9"/>
    <w:rsid w:val="00B9753A"/>
    <w:rsid w:val="00B97C9C"/>
    <w:rsid w:val="00BA518B"/>
    <w:rsid w:val="00BB479C"/>
    <w:rsid w:val="00BC4720"/>
    <w:rsid w:val="00BD5830"/>
    <w:rsid w:val="00BD75A2"/>
    <w:rsid w:val="00BE45B1"/>
    <w:rsid w:val="00BF0493"/>
    <w:rsid w:val="00C05462"/>
    <w:rsid w:val="00C10E3F"/>
    <w:rsid w:val="00C2017A"/>
    <w:rsid w:val="00C2026B"/>
    <w:rsid w:val="00C20470"/>
    <w:rsid w:val="00C25440"/>
    <w:rsid w:val="00C30FCE"/>
    <w:rsid w:val="00C32A99"/>
    <w:rsid w:val="00C34B2F"/>
    <w:rsid w:val="00C4641B"/>
    <w:rsid w:val="00C4664D"/>
    <w:rsid w:val="00C6012E"/>
    <w:rsid w:val="00C63DD1"/>
    <w:rsid w:val="00C63E60"/>
    <w:rsid w:val="00C6690E"/>
    <w:rsid w:val="00C703C5"/>
    <w:rsid w:val="00C72F28"/>
    <w:rsid w:val="00C805F2"/>
    <w:rsid w:val="00C8202B"/>
    <w:rsid w:val="00C87A8A"/>
    <w:rsid w:val="00C91815"/>
    <w:rsid w:val="00C94370"/>
    <w:rsid w:val="00C957F0"/>
    <w:rsid w:val="00C96EFE"/>
    <w:rsid w:val="00C97D13"/>
    <w:rsid w:val="00CA7830"/>
    <w:rsid w:val="00CC0943"/>
    <w:rsid w:val="00CC5E40"/>
    <w:rsid w:val="00D0525A"/>
    <w:rsid w:val="00D1569F"/>
    <w:rsid w:val="00D20B1E"/>
    <w:rsid w:val="00D22462"/>
    <w:rsid w:val="00D230AC"/>
    <w:rsid w:val="00D30761"/>
    <w:rsid w:val="00D31B47"/>
    <w:rsid w:val="00D32489"/>
    <w:rsid w:val="00D3349E"/>
    <w:rsid w:val="00D45AC2"/>
    <w:rsid w:val="00D65B20"/>
    <w:rsid w:val="00D667C5"/>
    <w:rsid w:val="00D672A2"/>
    <w:rsid w:val="00D728D4"/>
    <w:rsid w:val="00D73CB8"/>
    <w:rsid w:val="00D96AA1"/>
    <w:rsid w:val="00DA7591"/>
    <w:rsid w:val="00DE50B1"/>
    <w:rsid w:val="00DF71F2"/>
    <w:rsid w:val="00E02CA8"/>
    <w:rsid w:val="00E06219"/>
    <w:rsid w:val="00E32798"/>
    <w:rsid w:val="00E33CC8"/>
    <w:rsid w:val="00E40E11"/>
    <w:rsid w:val="00E51C91"/>
    <w:rsid w:val="00E667C1"/>
    <w:rsid w:val="00E66832"/>
    <w:rsid w:val="00E852A9"/>
    <w:rsid w:val="00E858A3"/>
    <w:rsid w:val="00EB686B"/>
    <w:rsid w:val="00EC3F88"/>
    <w:rsid w:val="00ED36D8"/>
    <w:rsid w:val="00EE6BD7"/>
    <w:rsid w:val="00F0004D"/>
    <w:rsid w:val="00F01934"/>
    <w:rsid w:val="00F0689D"/>
    <w:rsid w:val="00F63D0A"/>
    <w:rsid w:val="00FA11CA"/>
    <w:rsid w:val="00FA6A24"/>
    <w:rsid w:val="00FB01B5"/>
    <w:rsid w:val="00FB4498"/>
    <w:rsid w:val="00FC0234"/>
    <w:rsid w:val="00FC0477"/>
    <w:rsid w:val="00FC08B3"/>
    <w:rsid w:val="00FC429B"/>
    <w:rsid w:val="00FC63E4"/>
    <w:rsid w:val="00FC7530"/>
    <w:rsid w:val="00FD23DD"/>
    <w:rsid w:val="00FF2B8C"/>
    <w:rsid w:val="00FF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DF8BEB0"/>
  <w15:chartTrackingRefBased/>
  <w15:docId w15:val="{33F4F0C7-22C2-4C4B-B1F3-32D52F5A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tabulky,seznam odrážky,Nad,Odstavec_muj,Odstavec cíl se seznamem,Odstavec se seznamem5,_Odstavec se seznamem,Seznam - odrážky,Conclusion de partie,List Paragraph (Czech Tourism),List Paragraph compact,Normal bullet 2,Název grafu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qFormat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styleId="Textpoznpodarou">
    <w:name w:val="footnote text"/>
    <w:basedOn w:val="Normln"/>
    <w:link w:val="TextpoznpodarouChar"/>
    <w:uiPriority w:val="99"/>
    <w:unhideWhenUsed/>
    <w:rsid w:val="0012313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23132"/>
    <w:rPr>
      <w:color w:val="000000" w:themeColor="text1"/>
      <w:sz w:val="20"/>
      <w:szCs w:val="20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fr,Légende;Char Car Car Car Car"/>
    <w:basedOn w:val="Standardnpsmoodstavce"/>
    <w:unhideWhenUsed/>
    <w:rsid w:val="0012313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5F24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24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242A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24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242A"/>
    <w:rPr>
      <w:b/>
      <w:bCs/>
      <w:color w:val="000000" w:themeColor="text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2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42A"/>
    <w:rPr>
      <w:rFonts w:ascii="Segoe UI" w:hAnsi="Segoe UI" w:cs="Segoe UI"/>
      <w:color w:val="000000" w:themeColor="text1"/>
      <w:sz w:val="18"/>
      <w:szCs w:val="18"/>
    </w:rPr>
  </w:style>
  <w:style w:type="paragraph" w:styleId="Titulek">
    <w:name w:val="caption"/>
    <w:basedOn w:val="Normln"/>
    <w:next w:val="Normln"/>
    <w:uiPriority w:val="37"/>
    <w:unhideWhenUsed/>
    <w:qFormat/>
    <w:rsid w:val="0061343A"/>
    <w:pPr>
      <w:spacing w:after="200" w:line="240" w:lineRule="auto"/>
    </w:pPr>
    <w:rPr>
      <w:i/>
      <w:iCs/>
      <w:color w:val="004B8D" w:themeColor="text2"/>
      <w:sz w:val="18"/>
      <w:szCs w:val="18"/>
    </w:rPr>
  </w:style>
  <w:style w:type="paragraph" w:customStyle="1" w:styleId="Default">
    <w:name w:val="Default"/>
    <w:rsid w:val="001C76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B60DCB"/>
    <w:rPr>
      <w:b/>
      <w:bCs/>
    </w:rPr>
  </w:style>
  <w:style w:type="character" w:customStyle="1" w:styleId="OdstavecseseznamemChar">
    <w:name w:val="Odstavec se seznamem Char"/>
    <w:aliases w:val="tabulky Char,seznam odrážky Char,Nad Char,Odstavec_muj Char,Odstavec cíl se seznamem Char,Odstavec se seznamem5 Char,_Odstavec se seznamem Char,Seznam - odrážky Char,Conclusion de partie Char,List Paragraph (Czech Tourism) Char"/>
    <w:link w:val="Odstavecseseznamem"/>
    <w:uiPriority w:val="34"/>
    <w:qFormat/>
    <w:locked/>
    <w:rsid w:val="00AE5D35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standard/66453.html" TargetMode="Externa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55E68-0781-42F8-B9F7-80A0F2611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5C22FF82.dotm</Template>
  <TotalTime>0</TotalTime>
  <Pages>4</Pages>
  <Words>637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Honzík Miroslav</dc:creator>
  <cp:keywords/>
  <dc:description/>
  <cp:lastModifiedBy>Honzík Miroslav</cp:lastModifiedBy>
  <cp:revision>2</cp:revision>
  <dcterms:created xsi:type="dcterms:W3CDTF">2023-08-03T14:10:00Z</dcterms:created>
  <dcterms:modified xsi:type="dcterms:W3CDTF">2023-08-03T14:10:00Z</dcterms:modified>
</cp:coreProperties>
</file>