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1F09" w14:textId="77777777" w:rsidR="00713948" w:rsidRDefault="00713948" w:rsidP="00605759">
      <w:bookmarkStart w:id="0" w:name="_GoBack"/>
      <w:bookmarkEnd w:id="0"/>
    </w:p>
    <w:p w14:paraId="134C664D" w14:textId="77777777" w:rsidR="00E17CE5" w:rsidRDefault="00E17CE5" w:rsidP="00E17CE5">
      <w:pPr>
        <w:jc w:val="both"/>
      </w:pPr>
      <w:r>
        <w:t>Informace, které je žadatel/příjemce povinen vyplnit v modulu VZ dle přílohy XVII</w:t>
      </w:r>
      <w:r w:rsidR="00244581">
        <w:t>.</w:t>
      </w:r>
      <w:r>
        <w:t xml:space="preserve"> bodu 23</w:t>
      </w:r>
      <w:r w:rsidR="00244581">
        <w:t>)</w:t>
      </w:r>
      <w:r>
        <w:t xml:space="preserve"> a 24</w:t>
      </w:r>
      <w:r w:rsidR="00244581">
        <w:t>)</w:t>
      </w:r>
      <w:r>
        <w:t xml:space="preserve"> 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</w:r>
      <w:r w:rsidR="00244581">
        <w:t xml:space="preserve"> (ON)</w:t>
      </w:r>
      <w:r>
        <w:t>.</w:t>
      </w: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741"/>
        <w:gridCol w:w="1559"/>
        <w:gridCol w:w="142"/>
        <w:gridCol w:w="1559"/>
        <w:gridCol w:w="7230"/>
      </w:tblGrid>
      <w:tr w:rsidR="00DC11DB" w:rsidRPr="00E17CE5" w14:paraId="36EAADEE" w14:textId="77777777" w:rsidTr="003B1E08">
        <w:trPr>
          <w:trHeight w:val="69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D21" w14:textId="3DA165C7" w:rsidR="00DC11DB" w:rsidRPr="00613C7F" w:rsidRDefault="00DC11DB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13C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Informace o</w:t>
            </w:r>
            <w:r w:rsidR="008962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vítězných</w:t>
            </w:r>
            <w:r w:rsidRPr="00613C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dodavatelích</w:t>
            </w:r>
          </w:p>
        </w:tc>
      </w:tr>
      <w:tr w:rsidR="00367578" w:rsidRPr="00E17CE5" w14:paraId="34CFB7C3" w14:textId="77777777" w:rsidTr="000140AE">
        <w:trPr>
          <w:trHeight w:val="69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4F83" w14:textId="77777777" w:rsidR="00367578" w:rsidRPr="000140AE" w:rsidRDefault="00367578" w:rsidP="00E17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Položky, které je povinné vyplnit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C71" w14:textId="3BEF1836" w:rsidR="00367578" w:rsidRPr="000140AE" w:rsidRDefault="00367578" w:rsidP="00E17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Upřesnění položky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B72" w14:textId="77777777" w:rsidR="00367578" w:rsidRPr="000140AE" w:rsidRDefault="00367578" w:rsidP="00E17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Modul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3C5" w14:textId="6362165E" w:rsidR="00367578" w:rsidRPr="000140AE" w:rsidRDefault="00367578" w:rsidP="00E17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Datová oblast</w:t>
            </w:r>
          </w:p>
          <w:p w14:paraId="40FEA9AB" w14:textId="45010F41" w:rsidR="00367578" w:rsidRPr="000140AE" w:rsidRDefault="00367578" w:rsidP="00E17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CA95" w14:textId="77777777" w:rsidR="00367578" w:rsidRPr="000140AE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4CCB7837" w14:textId="77777777" w:rsidR="00367578" w:rsidRPr="000140AE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140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Instrukce</w:t>
            </w:r>
          </w:p>
        </w:tc>
      </w:tr>
      <w:tr w:rsidR="00367578" w:rsidRPr="000B64CC" w14:paraId="65B9017B" w14:textId="77777777" w:rsidTr="000140AE">
        <w:trPr>
          <w:trHeight w:val="69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F41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subjektu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B2C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F032" w14:textId="67A9FCAA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7D7" w14:textId="54B31B29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13D3A681" w14:textId="7625D8F8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420" w14:textId="77777777" w:rsidR="00367578" w:rsidRDefault="00367578" w:rsidP="006045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pole.</w:t>
            </w:r>
          </w:p>
        </w:tc>
      </w:tr>
      <w:tr w:rsidR="00367578" w:rsidRPr="000B64CC" w14:paraId="712883CF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E11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89C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89E" w14:textId="2818E24A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97C" w14:textId="2501A392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696E4329" w14:textId="4AECED15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578" w14:textId="77777777" w:rsidR="00367578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pole.</w:t>
            </w:r>
          </w:p>
        </w:tc>
      </w:tr>
      <w:tr w:rsidR="00367578" w:rsidRPr="000B64CC" w14:paraId="2E19B484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686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92ED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C8B" w14:textId="05C0268F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D2D" w14:textId="7E501EAF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0E62D7FD" w14:textId="62B61A88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ED5" w14:textId="77777777" w:rsidR="00367578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 v případě, že se jedná o fyzickou osobu nepodnikající (zatržítko „Fyzická osoba nepodnikající“).</w:t>
            </w:r>
          </w:p>
        </w:tc>
      </w:tr>
      <w:tr w:rsidR="00367578" w:rsidRPr="000B64CC" w14:paraId="7F2DBB89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C34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A79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268" w14:textId="20182B20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D0F" w14:textId="7F24B01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5DC48E41" w14:textId="3D8456A5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A00" w14:textId="77777777" w:rsidR="00367578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 v případě, že se jedná o fyzickou osobu nepodnikající (zatržítko „Fyzická osoba nepodnikající“).</w:t>
            </w:r>
          </w:p>
        </w:tc>
      </w:tr>
      <w:tr w:rsidR="00367578" w:rsidRPr="000B64CC" w14:paraId="6BC037C1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94C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skutečného majitele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C46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DBA" w14:textId="1974FBBB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A71" w14:textId="15ED65A3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58C653D4" w14:textId="4F60CE65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E5D" w14:textId="77777777" w:rsidR="00367578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 českých subjektů dojde k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validaci subjekt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 přes IČ, čímž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 xml:space="preserve">dochází také ke kontrole dat v Evidenci skutečných majitelů, do kterého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subjekty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zapisují zákonem vymezené údaje o skutečných majitelích</w:t>
            </w:r>
            <w:r>
              <w:rPr>
                <w:rStyle w:val="Znakapoznpodarou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4B5C12A" w14:textId="77777777" w:rsidR="00367578" w:rsidRPr="00A71BA7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zahraničních subjektů</w:t>
            </w:r>
            <w:r>
              <w:rPr>
                <w:rStyle w:val="Znakapoznpodarou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 nutné jména skutečných majitelů doložit formou přílohy vložené do Modulu VZ část „Přílohy“.</w:t>
            </w:r>
          </w:p>
        </w:tc>
      </w:tr>
      <w:tr w:rsidR="00367578" w:rsidRPr="000B64CC" w14:paraId="49568E0C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DC9A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Příjmení skutečného majitele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297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21C" w14:textId="6E89054B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EC1" w14:textId="4FDACAAA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0DC17110" w14:textId="179DAAA9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375F" w14:textId="77777777" w:rsidR="00367578" w:rsidRDefault="00367578" w:rsidP="00DC11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 českých subjektů dojde k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validaci subjekt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 přes IČ, čímž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 xml:space="preserve">dochází také ke kontrole dat v Evidenci skutečných majitelů, do kterého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subjekty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zapisují zákonem vymezené údaje o skutečných majitelích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281912" w14:textId="77777777" w:rsidR="00367578" w:rsidRDefault="00367578" w:rsidP="00DC11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zahraničních subjektů je nutné příjmení skutečných majitelů doložit formou přílohy vložené do Modulu VZ část „Přílohy“.</w:t>
            </w:r>
          </w:p>
        </w:tc>
      </w:tr>
      <w:tr w:rsidR="00367578" w:rsidRPr="000B64CC" w14:paraId="71C98296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3947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narození skutečného majitele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73F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Vítězný dodavatel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62F" w14:textId="740313D2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8B9F" w14:textId="16A8D323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  <w:p w14:paraId="3AF129F2" w14:textId="65B8B2F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F2DE" w14:textId="77777777" w:rsidR="00367578" w:rsidRDefault="00367578" w:rsidP="00DC11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 českých subjektů dojde k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validaci subjekt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 přes IČ, čímž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dochází také ke kontrole dat v Evidenci skutečných majitelů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kterého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subjekty </w:t>
            </w:r>
            <w:r w:rsidRPr="00A71BA7">
              <w:rPr>
                <w:rFonts w:ascii="Arial" w:hAnsi="Arial" w:cs="Arial"/>
                <w:color w:val="000000"/>
                <w:sz w:val="20"/>
                <w:szCs w:val="20"/>
              </w:rPr>
              <w:t>zapisují zákonem vymezené údaje o skutečných majitelích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D8C1334" w14:textId="77777777" w:rsidR="00367578" w:rsidRDefault="00367578" w:rsidP="00DC11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zahraničních subjektů je nutné data narození skutečných majitelů doložit formou přílohy vložené do Modulu VZ část „Přílohy“.</w:t>
            </w:r>
          </w:p>
        </w:tc>
      </w:tr>
      <w:tr w:rsidR="00367578" w:rsidRPr="000B64CC" w14:paraId="6C9EF020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662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podpisu smlouvy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B09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583" w14:textId="4F3E97F4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5B5" w14:textId="79B691FB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Údaje o smlouvě/dodatku</w:t>
            </w:r>
          </w:p>
          <w:p w14:paraId="2AEDC28B" w14:textId="6C0B4BBB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AA9" w14:textId="77777777" w:rsidR="00367578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pole datum.</w:t>
            </w:r>
          </w:p>
        </w:tc>
      </w:tr>
      <w:tr w:rsidR="00367578" w:rsidRPr="000B64CC" w14:paraId="489B2A1C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7FE" w14:textId="3107D3B7" w:rsidR="00367578" w:rsidRPr="000B64CC" w:rsidRDefault="00367578" w:rsidP="0069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veřejné zakázky dle smlouvy bez DPH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4D06" w14:textId="421C58EC" w:rsidR="00367578" w:rsidRPr="000B64CC" w:rsidRDefault="00367578" w:rsidP="0069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D066" w14:textId="2394B0C9" w:rsidR="00367578" w:rsidRPr="000B64CC" w:rsidRDefault="00367578" w:rsidP="0069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708F" w14:textId="3C7D9169" w:rsidR="00367578" w:rsidRPr="000B64CC" w:rsidRDefault="00367578" w:rsidP="0069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Údaje o smlouvě/dodatku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E9DA" w14:textId="055ACED6" w:rsidR="00367578" w:rsidRDefault="00367578" w:rsidP="006939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finanční částku.</w:t>
            </w:r>
          </w:p>
        </w:tc>
      </w:tr>
      <w:tr w:rsidR="00367578" w:rsidRPr="000B64CC" w14:paraId="755BFDC8" w14:textId="77777777" w:rsidTr="000140AE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9D9" w14:textId="77777777" w:rsidR="00367578" w:rsidRPr="00693987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smlouvy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4CD" w14:textId="787F0C2F" w:rsidR="00367578" w:rsidRPr="00693987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0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 Název veřejné zakázky</w:t>
            </w:r>
            <w:r w:rsidRPr="0069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471" w14:textId="7729B37C" w:rsidR="00367578" w:rsidRPr="00693987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0C57" w14:textId="08654763" w:rsidR="00367578" w:rsidRPr="00693987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93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údaje VZ</w:t>
            </w:r>
          </w:p>
          <w:p w14:paraId="5B449A6B" w14:textId="30705D95" w:rsidR="00367578" w:rsidRPr="00693987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617" w14:textId="77777777" w:rsidR="00367578" w:rsidRPr="00693987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987">
              <w:rPr>
                <w:rFonts w:ascii="Arial" w:hAnsi="Arial" w:cs="Arial"/>
                <w:color w:val="000000"/>
                <w:sz w:val="20"/>
                <w:szCs w:val="20"/>
              </w:rPr>
              <w:t>Vyplnit textové pole.</w:t>
            </w:r>
          </w:p>
        </w:tc>
      </w:tr>
      <w:tr w:rsidR="00367578" w:rsidRPr="000B64CC" w14:paraId="72741F32" w14:textId="77777777" w:rsidTr="000140AE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48E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Referenční číslo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204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= </w:t>
            </w: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Číslo smlouvy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128C" w14:textId="20116F44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900" w14:textId="61C2F4F1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Základní údaje VZ</w:t>
            </w:r>
          </w:p>
          <w:p w14:paraId="5DE9D0CB" w14:textId="0F3BBD43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DAD" w14:textId="77777777" w:rsidR="00367578" w:rsidRDefault="00367578" w:rsidP="00604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pole.</w:t>
            </w:r>
          </w:p>
        </w:tc>
      </w:tr>
      <w:tr w:rsidR="00DC11DB" w:rsidRPr="000B64CC" w14:paraId="0EB01430" w14:textId="77777777" w:rsidTr="00DC11DB">
        <w:trPr>
          <w:trHeight w:val="687"/>
        </w:trPr>
        <w:tc>
          <w:tcPr>
            <w:tcW w:w="145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AF51" w14:textId="77777777" w:rsidR="00DC11DB" w:rsidRDefault="00DC11DB" w:rsidP="00DC11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18F36" w14:textId="7C67F69F" w:rsidR="00DC11DB" w:rsidRPr="00613C7F" w:rsidRDefault="00DC11DB" w:rsidP="00DC11D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3C7F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Pr="00613C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nformace o </w:t>
            </w:r>
            <w:r w:rsidR="000068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pod</w:t>
            </w:r>
            <w:r w:rsidRPr="00613C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dodavatelích</w:t>
            </w:r>
            <w:r w:rsidR="008962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 u kterých</w:t>
            </w:r>
            <w:r w:rsidR="0089622B" w:rsidRPr="008962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hodnota poddodavatelského plnění přesahuje 50 000 EUR.</w:t>
            </w:r>
          </w:p>
        </w:tc>
      </w:tr>
      <w:tr w:rsidR="00367578" w:rsidRPr="000B64CC" w14:paraId="395924A4" w14:textId="77777777" w:rsidTr="000140AE">
        <w:trPr>
          <w:trHeight w:val="690"/>
        </w:trPr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BCC" w14:textId="77777777" w:rsidR="00367578" w:rsidRPr="000B64CC" w:rsidRDefault="00367578" w:rsidP="00794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subjektu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A17" w14:textId="77777777" w:rsidR="00367578" w:rsidRPr="000B64CC" w:rsidRDefault="00367578" w:rsidP="00794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Poddodavatel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5B0" w14:textId="77777777" w:rsidR="00367578" w:rsidRPr="000B64CC" w:rsidRDefault="00367578" w:rsidP="00794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  <w:p w14:paraId="2230CB45" w14:textId="3B6D1BC9" w:rsidR="00367578" w:rsidRPr="000B64CC" w:rsidRDefault="00367578" w:rsidP="00794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CB9" w14:textId="77777777" w:rsidR="00367578" w:rsidRPr="000B64CC" w:rsidRDefault="00367578" w:rsidP="007948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A8A10" w14:textId="77777777" w:rsidR="00367578" w:rsidRDefault="00367578" w:rsidP="0079484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 xml:space="preserve">Pozn: </w:t>
            </w:r>
            <w:r w:rsidRPr="00613C7F"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D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atové položky</w:t>
            </w:r>
            <w:r w:rsidRPr="00613C7F"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 xml:space="preserve"> v modulu VZ jsou shodné a shodně umístěné pro Dodavatele i Poddodavatele. Liší se pouze typ subjektu.</w:t>
            </w:r>
          </w:p>
          <w:p w14:paraId="135F4E06" w14:textId="77777777" w:rsidR="00367578" w:rsidRDefault="00367578" w:rsidP="0079484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  <w:p w14:paraId="4A40F739" w14:textId="77777777" w:rsidR="00367578" w:rsidRPr="000B64CC" w:rsidRDefault="00367578" w:rsidP="0079484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Vyplnit textové pole.</w:t>
            </w:r>
          </w:p>
        </w:tc>
      </w:tr>
      <w:tr w:rsidR="00367578" w:rsidRPr="000B64CC" w14:paraId="3125E6AA" w14:textId="77777777" w:rsidTr="000140AE">
        <w:trPr>
          <w:trHeight w:val="53"/>
        </w:trPr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86BD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CE5D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19916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ABF41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76B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367578" w:rsidRPr="000B64CC" w14:paraId="7B7F9E8F" w14:textId="77777777" w:rsidTr="000140AE">
        <w:trPr>
          <w:trHeight w:val="96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5BA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C5D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Poddodavatel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684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  <w:p w14:paraId="36EDA029" w14:textId="63CFC8C1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657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F274" w14:textId="77777777" w:rsidR="00367578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 </w:t>
            </w:r>
          </w:p>
          <w:p w14:paraId="30E926BB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Vyplnit textové pole.</w:t>
            </w:r>
          </w:p>
        </w:tc>
      </w:tr>
      <w:tr w:rsidR="00367578" w:rsidRPr="000B64CC" w14:paraId="61398516" w14:textId="77777777" w:rsidTr="000140AE">
        <w:trPr>
          <w:trHeight w:val="94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0DA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Jméno a příjmení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339B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Poddodavatel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3D3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  <w:p w14:paraId="2AF77955" w14:textId="3555930B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F80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898" w14:textId="77777777" w:rsidR="00367578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 </w:t>
            </w:r>
          </w:p>
          <w:p w14:paraId="3E01AC3D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 v případě, že se jedná o fyzickou osobu nepodnikající (zatržítko „Fyzická osoba nepodnikající“).</w:t>
            </w:r>
          </w:p>
        </w:tc>
      </w:tr>
      <w:tr w:rsidR="00367578" w:rsidRPr="000B64CC" w14:paraId="5A3B9B7C" w14:textId="77777777" w:rsidTr="000140AE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087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RČ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EB1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subjektu = Poddodavatel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56F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zakázky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(VZ)</w:t>
            </w:r>
          </w:p>
          <w:p w14:paraId="35564B2E" w14:textId="2EF6DB4C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F0C" w14:textId="77777777" w:rsidR="00367578" w:rsidRPr="000B64CC" w:rsidRDefault="00367578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Subjekty VZ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594E" w14:textId="77777777" w:rsidR="00367578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  <w:t> </w:t>
            </w:r>
          </w:p>
          <w:p w14:paraId="7BFDFF64" w14:textId="77777777" w:rsidR="00367578" w:rsidRPr="000B64CC" w:rsidRDefault="00367578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Vyplnit textové pole v případě, že se jedná o fyzickou osobu nepodnikající (zatržítko „Fyzická osoba nepodnikající“).</w:t>
            </w:r>
          </w:p>
        </w:tc>
      </w:tr>
      <w:tr w:rsidR="006E568E" w:rsidRPr="000B64CC" w14:paraId="74CBC9AB" w14:textId="77777777" w:rsidTr="00CE5435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D23" w14:textId="77777777" w:rsidR="006E568E" w:rsidRPr="000B64CC" w:rsidRDefault="006E568E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podpisu smlouvy</w:t>
            </w:r>
          </w:p>
        </w:tc>
        <w:tc>
          <w:tcPr>
            <w:tcW w:w="1223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23D" w14:textId="4F47C554" w:rsidR="006E568E" w:rsidRPr="000B64CC" w:rsidRDefault="00A54387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Požadované údaje budou vyplněny do samostatného dokumentu souhrnně za všechny relevantní poddodavatele. Vyplněný dokument bude vložen do příloh VZ.</w:t>
            </w:r>
            <w:r w:rsidR="0089622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Všechny požadované údaje se budou vztahovat ke smlouvám mezi vítězným dodavatelem (dodavateli) a relevantními poddodavateli.</w:t>
            </w:r>
          </w:p>
          <w:p w14:paraId="4B8AE478" w14:textId="021C84C9" w:rsidR="006E568E" w:rsidRPr="000B64CC" w:rsidRDefault="006E568E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  <w:p w14:paraId="05AD54C9" w14:textId="77777777" w:rsidR="006E568E" w:rsidRPr="000B64CC" w:rsidRDefault="006E568E" w:rsidP="0069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659A6674" w14:textId="77777777" w:rsidR="006E568E" w:rsidRPr="000B64CC" w:rsidRDefault="006E568E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11E40CCD" w14:textId="458DD7D1" w:rsidR="006E568E" w:rsidRPr="000B64CC" w:rsidRDefault="006E568E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6E568E" w:rsidRPr="000B64CC" w14:paraId="527C8B26" w14:textId="77777777" w:rsidTr="00CE5435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8AC5" w14:textId="63D2F094" w:rsidR="006E568E" w:rsidRPr="000B64CC" w:rsidRDefault="006E568E" w:rsidP="00693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veřejné zakázky dle smlouvy bez DPH</w:t>
            </w:r>
          </w:p>
        </w:tc>
        <w:tc>
          <w:tcPr>
            <w:tcW w:w="1223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510D6B" w14:textId="67FF6321" w:rsidR="006E568E" w:rsidRDefault="006E568E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6E568E" w:rsidRPr="000B64CC" w14:paraId="6ED0F1C0" w14:textId="77777777" w:rsidTr="00CE5435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3F9" w14:textId="77777777" w:rsidR="006E568E" w:rsidRPr="000B64CC" w:rsidRDefault="006E568E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smlouvy</w:t>
            </w:r>
          </w:p>
        </w:tc>
        <w:tc>
          <w:tcPr>
            <w:tcW w:w="1223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D7A" w14:textId="0B35F4EF" w:rsidR="006E568E" w:rsidRPr="000B64CC" w:rsidRDefault="006E568E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6E568E" w:rsidRPr="000B64CC" w14:paraId="7432BFE0" w14:textId="77777777" w:rsidTr="00CE5435">
        <w:trPr>
          <w:trHeight w:val="69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A2F" w14:textId="77777777" w:rsidR="006E568E" w:rsidRPr="000B64CC" w:rsidRDefault="006E568E" w:rsidP="00604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6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Referenční číslo</w:t>
            </w:r>
          </w:p>
        </w:tc>
        <w:tc>
          <w:tcPr>
            <w:tcW w:w="1223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5D0" w14:textId="06631D3E" w:rsidR="006E568E" w:rsidRPr="000B64CC" w:rsidRDefault="006E568E" w:rsidP="006045F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cs-CZ"/>
              </w:rPr>
            </w:pPr>
          </w:p>
        </w:tc>
      </w:tr>
    </w:tbl>
    <w:p w14:paraId="59F7E331" w14:textId="77777777" w:rsidR="000B64CC" w:rsidRPr="00605759" w:rsidRDefault="000B64CC" w:rsidP="00605759"/>
    <w:sectPr w:rsidR="000B64CC" w:rsidRPr="00605759" w:rsidSect="000B64CC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53C72" w14:textId="77777777" w:rsidR="00FC7E6E" w:rsidRDefault="00FC7E6E" w:rsidP="00677FE0">
      <w:pPr>
        <w:spacing w:after="0" w:line="240" w:lineRule="auto"/>
      </w:pPr>
      <w:r>
        <w:separator/>
      </w:r>
    </w:p>
  </w:endnote>
  <w:endnote w:type="continuationSeparator" w:id="0">
    <w:p w14:paraId="5A9E73F0" w14:textId="77777777" w:rsidR="00FC7E6E" w:rsidRDefault="00FC7E6E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146F" w14:textId="77777777" w:rsidR="00613C7F" w:rsidRDefault="00613C7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1E98DC" wp14:editId="64DAFCB9">
          <wp:simplePos x="0" y="0"/>
          <wp:positionH relativeFrom="rightMargin">
            <wp:posOffset>-2926212</wp:posOffset>
          </wp:positionH>
          <wp:positionV relativeFrom="paragraph">
            <wp:posOffset>-40943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A2815" w14:textId="77777777" w:rsidR="00FC7E6E" w:rsidRDefault="00FC7E6E" w:rsidP="00677FE0">
      <w:pPr>
        <w:spacing w:after="0" w:line="240" w:lineRule="auto"/>
      </w:pPr>
      <w:r>
        <w:separator/>
      </w:r>
    </w:p>
  </w:footnote>
  <w:footnote w:type="continuationSeparator" w:id="0">
    <w:p w14:paraId="50F46F8B" w14:textId="77777777" w:rsidR="00FC7E6E" w:rsidRDefault="00FC7E6E" w:rsidP="00677FE0">
      <w:pPr>
        <w:spacing w:after="0" w:line="240" w:lineRule="auto"/>
      </w:pPr>
      <w:r>
        <w:continuationSeparator/>
      </w:r>
    </w:p>
  </w:footnote>
  <w:footnote w:id="1">
    <w:p w14:paraId="401E2604" w14:textId="77777777" w:rsidR="00367578" w:rsidRDefault="00367578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502EE2">
        <w:t>§ 7</w:t>
      </w:r>
      <w:r>
        <w:t xml:space="preserve"> zákona č. 37/2021 Sb., o evidenci skutečných majitelů, některé subjekty skutečného majitele nemají. U těchto subjektů vytvoří žadatel/příjemce přílohu, ve které uvede, dle jakého písmene </w:t>
      </w:r>
      <w:r w:rsidRPr="00502EE2">
        <w:t>§ 7</w:t>
      </w:r>
      <w:r>
        <w:t xml:space="preserve"> zákona č. 37/2021 Sb. dodavatel skutečného majitele nemá. </w:t>
      </w:r>
    </w:p>
  </w:footnote>
  <w:footnote w:id="2">
    <w:p w14:paraId="5FA53501" w14:textId="77777777" w:rsidR="00367578" w:rsidRDefault="00367578">
      <w:pPr>
        <w:pStyle w:val="Textpoznpodarou"/>
      </w:pPr>
      <w:r>
        <w:rPr>
          <w:rStyle w:val="Znakapoznpodarou"/>
        </w:rPr>
        <w:footnoteRef/>
      </w:r>
      <w:r>
        <w:t xml:space="preserve"> Všechny údaje o skutečných majitelích zahraničního subjektu (jména, příjmení, data narození) budou uvedeny v souladu s čl. 3 bodu 6 směrnice (EU) 2015/849 (stanovení procentních hranic pro určení skutečného majitele, identifikace skutečného majitele v případě svěřenských fondů apod).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E53F" w14:textId="28708EF7" w:rsidR="00677FE0" w:rsidRDefault="00613C7F" w:rsidP="00322D1E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07A56" wp14:editId="34A1F41C">
          <wp:simplePos x="0" y="0"/>
          <wp:positionH relativeFrom="margin">
            <wp:align>left</wp:align>
          </wp:positionH>
          <wp:positionV relativeFrom="paragraph">
            <wp:posOffset>-164011</wp:posOffset>
          </wp:positionV>
          <wp:extent cx="1532890" cy="34290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4581">
      <w:t>Nadlimitní veřejné zakázky</w:t>
    </w:r>
    <w:r w:rsidR="0089622B">
      <w:t xml:space="preserve"> v režimu ZZVZ</w:t>
    </w:r>
    <w:r w:rsidR="00244581">
      <w:t xml:space="preserve"> – informace dle ON přílohy XVII.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1"/>
    <w:rsid w:val="0000680B"/>
    <w:rsid w:val="000140AE"/>
    <w:rsid w:val="00015306"/>
    <w:rsid w:val="0002674B"/>
    <w:rsid w:val="0004162E"/>
    <w:rsid w:val="0004786B"/>
    <w:rsid w:val="00063405"/>
    <w:rsid w:val="00080225"/>
    <w:rsid w:val="000809B9"/>
    <w:rsid w:val="00090B40"/>
    <w:rsid w:val="00095A0A"/>
    <w:rsid w:val="000B1B3D"/>
    <w:rsid w:val="000B64CC"/>
    <w:rsid w:val="000C4CAF"/>
    <w:rsid w:val="00121485"/>
    <w:rsid w:val="001268B0"/>
    <w:rsid w:val="00165BF1"/>
    <w:rsid w:val="0018051B"/>
    <w:rsid w:val="001B1E4A"/>
    <w:rsid w:val="001D27C0"/>
    <w:rsid w:val="001E74C3"/>
    <w:rsid w:val="001F6937"/>
    <w:rsid w:val="00220DE3"/>
    <w:rsid w:val="00244581"/>
    <w:rsid w:val="0025290D"/>
    <w:rsid w:val="00260372"/>
    <w:rsid w:val="00262DAF"/>
    <w:rsid w:val="00285AED"/>
    <w:rsid w:val="002A3293"/>
    <w:rsid w:val="002E2442"/>
    <w:rsid w:val="002F0E8C"/>
    <w:rsid w:val="00310FA0"/>
    <w:rsid w:val="00320481"/>
    <w:rsid w:val="00322D1E"/>
    <w:rsid w:val="003250CB"/>
    <w:rsid w:val="00363201"/>
    <w:rsid w:val="00367578"/>
    <w:rsid w:val="0039063C"/>
    <w:rsid w:val="00394395"/>
    <w:rsid w:val="003A46A8"/>
    <w:rsid w:val="003A51AA"/>
    <w:rsid w:val="003B565A"/>
    <w:rsid w:val="003D00A1"/>
    <w:rsid w:val="0041427F"/>
    <w:rsid w:val="004315B3"/>
    <w:rsid w:val="004509E5"/>
    <w:rsid w:val="00486FB9"/>
    <w:rsid w:val="004C212A"/>
    <w:rsid w:val="00500232"/>
    <w:rsid w:val="00502EE2"/>
    <w:rsid w:val="00504668"/>
    <w:rsid w:val="00536D63"/>
    <w:rsid w:val="005455E1"/>
    <w:rsid w:val="005502BD"/>
    <w:rsid w:val="00556787"/>
    <w:rsid w:val="005628D9"/>
    <w:rsid w:val="00572217"/>
    <w:rsid w:val="00582276"/>
    <w:rsid w:val="005C2560"/>
    <w:rsid w:val="005F7585"/>
    <w:rsid w:val="006045F7"/>
    <w:rsid w:val="00605759"/>
    <w:rsid w:val="00613C7F"/>
    <w:rsid w:val="00650C6C"/>
    <w:rsid w:val="00652FE6"/>
    <w:rsid w:val="0065457A"/>
    <w:rsid w:val="00667898"/>
    <w:rsid w:val="00677FE0"/>
    <w:rsid w:val="006853AA"/>
    <w:rsid w:val="00693987"/>
    <w:rsid w:val="006D0004"/>
    <w:rsid w:val="006D04EF"/>
    <w:rsid w:val="006E2FB0"/>
    <w:rsid w:val="006E568E"/>
    <w:rsid w:val="007102D2"/>
    <w:rsid w:val="00713948"/>
    <w:rsid w:val="00753A27"/>
    <w:rsid w:val="0079342A"/>
    <w:rsid w:val="00794848"/>
    <w:rsid w:val="007B32F2"/>
    <w:rsid w:val="007B4949"/>
    <w:rsid w:val="007F0BC6"/>
    <w:rsid w:val="008258BF"/>
    <w:rsid w:val="00831374"/>
    <w:rsid w:val="00857580"/>
    <w:rsid w:val="00865238"/>
    <w:rsid w:val="008667BF"/>
    <w:rsid w:val="00893189"/>
    <w:rsid w:val="00895645"/>
    <w:rsid w:val="0089622B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65F4"/>
    <w:rsid w:val="00A275BC"/>
    <w:rsid w:val="00A464B4"/>
    <w:rsid w:val="00A54387"/>
    <w:rsid w:val="00A63D6B"/>
    <w:rsid w:val="00A71BA7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033F5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C11DB"/>
    <w:rsid w:val="00E17CE5"/>
    <w:rsid w:val="00E32798"/>
    <w:rsid w:val="00E33CC8"/>
    <w:rsid w:val="00E51C91"/>
    <w:rsid w:val="00E667C1"/>
    <w:rsid w:val="00EC3F88"/>
    <w:rsid w:val="00ED36D8"/>
    <w:rsid w:val="00EE6BD7"/>
    <w:rsid w:val="00F0689D"/>
    <w:rsid w:val="00F3491B"/>
    <w:rsid w:val="00FB01B5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7B8D1"/>
  <w15:chartTrackingRefBased/>
  <w15:docId w15:val="{B02BF299-FDA4-4B76-BC72-157113C8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1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189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18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02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E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EE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EE2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EE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00680B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4c73014-2d47-4464-8eda-064c5291faa3" xsi:nil="true"/>
    <_ip_UnifiedCompliancePolicyUIAction xmlns="http://schemas.microsoft.com/sharepoint/v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9" ma:contentTypeDescription="Vytvoří nový dokument" ma:contentTypeScope="" ma:versionID="e2bcdcb0ebe73f1fd54efa9ca6e8f4aa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f965eb6a4c7fe7168e774b191310fb92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E4235-D218-40D5-B23D-FEDB0B4E6C68}">
  <ds:schemaRefs>
    <ds:schemaRef ds:uri="http://schemas.microsoft.com/office/2006/metadata/properties"/>
    <ds:schemaRef ds:uri="http://schemas.microsoft.com/office/infopath/2007/PartnerControls"/>
    <ds:schemaRef ds:uri="94c73014-2d47-4464-8eda-064c5291faa3"/>
    <ds:schemaRef ds:uri="http://schemas.microsoft.com/sharepoint/v3"/>
    <ds:schemaRef ds:uri="0ccbd45e-a229-4bce-9265-cc4149b21652"/>
  </ds:schemaRefs>
</ds:datastoreItem>
</file>

<file path=customXml/itemProps2.xml><?xml version="1.0" encoding="utf-8"?>
<ds:datastoreItem xmlns:ds="http://schemas.openxmlformats.org/officeDocument/2006/customXml" ds:itemID="{C9B57A57-173F-480E-8C9A-999E37420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B93C8-C024-47A4-ABFD-1805CC378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0831F-C58B-433C-99B1-7FA503D3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Superuser</cp:lastModifiedBy>
  <cp:revision>2</cp:revision>
  <dcterms:created xsi:type="dcterms:W3CDTF">2024-01-22T11:33:00Z</dcterms:created>
  <dcterms:modified xsi:type="dcterms:W3CDTF">2024-01-22T11:33:00Z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2023-08-01T13:12:15Z</vt:lpwstr>
  </property>
  <property fmtid="{D5CDD505-2E9C-101B-9397-08002B2CF9AE}" pid="5" name="MSIP_Label_d79dbf13-dba3-469b-a7af-e84a8c38b3fd_Method">
    <vt:lpwstr>Standard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20457bc7-1fa4-4f4c-a263-66416d571459</vt:lpwstr>
  </property>
  <property fmtid="{D5CDD505-2E9C-101B-9397-08002B2CF9AE}" pid="9" name="MSIP_Label_d79dbf13-dba3-469b-a7af-e84a8c38b3fd_ContentBits">
    <vt:lpwstr>0</vt:lpwstr>
  </property>
  <property fmtid="{D5CDD505-2E9C-101B-9397-08002B2CF9AE}" pid="10" name="MediaServiceImageTags">
    <vt:lpwstr/>
  </property>
</Properties>
</file>